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1" w:rsidRPr="00FB18DC" w:rsidRDefault="00317891" w:rsidP="0031789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color w:val="000000"/>
          <w:sz w:val="24"/>
          <w:szCs w:val="24"/>
          <w:lang w:val="en-US" w:eastAsia="en-GB"/>
        </w:rPr>
      </w:pPr>
      <w:r w:rsidRPr="00FB18DC">
        <w:rPr>
          <w:rFonts w:ascii="Verdana" w:eastAsia="Times New Roman" w:hAnsi="Verdana"/>
          <w:b/>
          <w:color w:val="000000"/>
          <w:sz w:val="24"/>
          <w:szCs w:val="24"/>
          <w:lang w:val="en-US" w:eastAsia="en-GB"/>
        </w:rPr>
        <w:t>Call for Papers</w:t>
      </w:r>
    </w:p>
    <w:p w:rsidR="00317891" w:rsidRPr="00FB18DC" w:rsidRDefault="00317891" w:rsidP="0031789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color w:val="000000"/>
          <w:lang w:val="en-US" w:eastAsia="en-GB"/>
        </w:rPr>
      </w:pPr>
      <w:r w:rsidRPr="00FB18DC">
        <w:rPr>
          <w:rFonts w:ascii="Verdana" w:eastAsia="Times New Roman" w:hAnsi="Verdana"/>
          <w:b/>
          <w:color w:val="000000"/>
          <w:u w:val="single"/>
          <w:lang w:val="en-US" w:eastAsia="en-GB"/>
        </w:rPr>
        <w:t>The Competition Law Scholars Forum (</w:t>
      </w:r>
      <w:proofErr w:type="spellStart"/>
      <w:r w:rsidRPr="00FB18DC">
        <w:rPr>
          <w:rFonts w:ascii="Verdana" w:eastAsia="Times New Roman" w:hAnsi="Verdana"/>
          <w:b/>
          <w:color w:val="000000"/>
          <w:u w:val="single"/>
          <w:lang w:val="en-US" w:eastAsia="en-GB"/>
        </w:rPr>
        <w:t>CLaSF</w:t>
      </w:r>
      <w:proofErr w:type="spellEnd"/>
      <w:r w:rsidRPr="00FB18DC">
        <w:rPr>
          <w:rFonts w:ascii="Verdana" w:eastAsia="Times New Roman" w:hAnsi="Verdana"/>
          <w:b/>
          <w:color w:val="000000"/>
          <w:u w:val="single"/>
          <w:lang w:val="en-US" w:eastAsia="en-GB"/>
        </w:rPr>
        <w:t>)</w:t>
      </w:r>
      <w:r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 and  </w:t>
      </w:r>
    </w:p>
    <w:p w:rsidR="00317891" w:rsidRPr="00FB18DC" w:rsidRDefault="004E0763" w:rsidP="0031789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color w:val="000000"/>
          <w:lang w:val="en-US" w:eastAsia="en-GB"/>
        </w:rPr>
      </w:pPr>
      <w:proofErr w:type="gramStart"/>
      <w:r w:rsidRPr="00FB18DC">
        <w:rPr>
          <w:rFonts w:ascii="Verdana" w:eastAsia="Times New Roman" w:hAnsi="Verdana"/>
          <w:b/>
          <w:color w:val="000000"/>
          <w:u w:val="single"/>
          <w:lang w:val="en-US" w:eastAsia="en-GB"/>
        </w:rPr>
        <w:t>the</w:t>
      </w:r>
      <w:proofErr w:type="gramEnd"/>
      <w:r w:rsidRPr="00FB18DC">
        <w:rPr>
          <w:rFonts w:ascii="Verdana" w:eastAsia="Times New Roman" w:hAnsi="Verdana"/>
          <w:b/>
          <w:color w:val="000000"/>
          <w:u w:val="single"/>
          <w:lang w:val="en-US" w:eastAsia="en-GB"/>
        </w:rPr>
        <w:t xml:space="preserve"> </w:t>
      </w:r>
      <w:r w:rsidR="0055469D" w:rsidRPr="00FB18DC">
        <w:rPr>
          <w:rFonts w:ascii="Verdana" w:eastAsia="Times New Roman" w:hAnsi="Verdana"/>
          <w:b/>
          <w:color w:val="000000"/>
          <w:u w:val="single"/>
          <w:lang w:val="en-US" w:eastAsia="en-GB"/>
        </w:rPr>
        <w:t>Centre for Antitrust and Regulatory Studies, University of Warsaw</w:t>
      </w:r>
      <w:r w:rsidR="00CC6075" w:rsidRPr="00FB18DC">
        <w:rPr>
          <w:rFonts w:ascii="Verdana" w:eastAsia="Times New Roman" w:hAnsi="Verdana"/>
          <w:b/>
          <w:color w:val="000000"/>
          <w:u w:val="single"/>
          <w:lang w:val="en-US" w:eastAsia="en-GB"/>
        </w:rPr>
        <w:t xml:space="preserve"> </w:t>
      </w:r>
    </w:p>
    <w:p w:rsidR="00317891" w:rsidRPr="00FB18DC" w:rsidRDefault="00CC6075" w:rsidP="0031789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lang w:val="en-US" w:eastAsia="en-GB"/>
        </w:rPr>
      </w:pPr>
      <w:proofErr w:type="gramStart"/>
      <w:r w:rsidRPr="00FB18DC">
        <w:rPr>
          <w:rFonts w:ascii="Verdana" w:eastAsia="Times New Roman" w:hAnsi="Verdana"/>
          <w:color w:val="000000"/>
          <w:lang w:val="en-US" w:eastAsia="en-GB"/>
        </w:rPr>
        <w:t>i</w:t>
      </w:r>
      <w:r w:rsidR="00317891" w:rsidRPr="00FB18DC">
        <w:rPr>
          <w:rFonts w:ascii="Verdana" w:eastAsia="Times New Roman" w:hAnsi="Verdana"/>
          <w:color w:val="000000"/>
          <w:lang w:val="en-US" w:eastAsia="en-GB"/>
        </w:rPr>
        <w:t>nvite</w:t>
      </w:r>
      <w:proofErr w:type="gramEnd"/>
      <w:r w:rsidR="00317891" w:rsidRPr="00FB18DC">
        <w:rPr>
          <w:rFonts w:ascii="Verdana" w:eastAsia="Times New Roman" w:hAnsi="Verdana"/>
          <w:color w:val="000000"/>
          <w:lang w:val="en-US" w:eastAsia="en-GB"/>
        </w:rPr>
        <w:t xml:space="preserve"> contributions to a workshop</w:t>
      </w:r>
    </w:p>
    <w:p w:rsidR="00317891" w:rsidRPr="00FB18DC" w:rsidRDefault="00317891" w:rsidP="0031789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i/>
          <w:color w:val="000000"/>
          <w:lang w:val="en-US" w:eastAsia="en-GB"/>
        </w:rPr>
      </w:pPr>
      <w:r w:rsidRPr="00FB18DC">
        <w:rPr>
          <w:rFonts w:ascii="Verdana" w:eastAsia="Times New Roman" w:hAnsi="Verdana"/>
          <w:b/>
          <w:i/>
          <w:color w:val="000000"/>
          <w:lang w:val="en-US" w:eastAsia="en-GB"/>
        </w:rPr>
        <w:t xml:space="preserve"> </w:t>
      </w:r>
      <w:r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 </w:t>
      </w:r>
      <w:r w:rsidRPr="00FB18DC">
        <w:rPr>
          <w:rFonts w:ascii="Verdana" w:eastAsia="Times New Roman" w:hAnsi="Verdana"/>
          <w:b/>
          <w:i/>
          <w:color w:val="000000"/>
          <w:lang w:val="en-US" w:eastAsia="en-GB"/>
        </w:rPr>
        <w:t>“</w:t>
      </w:r>
      <w:r w:rsidR="00057C31" w:rsidRPr="00FB18DC">
        <w:rPr>
          <w:rFonts w:ascii="Verdana" w:eastAsia="Times New Roman" w:hAnsi="Verdana"/>
          <w:b/>
          <w:i/>
          <w:color w:val="000000"/>
          <w:lang w:val="en-US" w:eastAsia="en-GB"/>
        </w:rPr>
        <w:t>Reform of Regulation 1/2003 –Effectiveness</w:t>
      </w:r>
      <w:r w:rsidR="00101F74" w:rsidRPr="00FB18DC">
        <w:rPr>
          <w:rFonts w:ascii="Verdana" w:eastAsia="Times New Roman" w:hAnsi="Verdana"/>
          <w:b/>
          <w:i/>
          <w:color w:val="000000"/>
          <w:lang w:val="en-US" w:eastAsia="en-GB"/>
        </w:rPr>
        <w:t xml:space="preserve"> of </w:t>
      </w:r>
      <w:r w:rsidR="006A3BB3" w:rsidRPr="00FB18DC">
        <w:rPr>
          <w:rFonts w:ascii="Verdana" w:eastAsia="Times New Roman" w:hAnsi="Verdana"/>
          <w:b/>
          <w:i/>
          <w:color w:val="000000"/>
          <w:lang w:val="en-US" w:eastAsia="en-GB"/>
        </w:rPr>
        <w:t xml:space="preserve">the </w:t>
      </w:r>
      <w:r w:rsidR="00101F74" w:rsidRPr="00FB18DC">
        <w:rPr>
          <w:rFonts w:ascii="Verdana" w:eastAsia="Times New Roman" w:hAnsi="Verdana"/>
          <w:b/>
          <w:i/>
          <w:color w:val="000000"/>
          <w:lang w:val="en-US" w:eastAsia="en-GB"/>
        </w:rPr>
        <w:t>NCAs and Beyond</w:t>
      </w:r>
      <w:r w:rsidRPr="00FB18DC">
        <w:rPr>
          <w:rFonts w:ascii="Verdana" w:eastAsia="Times New Roman" w:hAnsi="Verdana"/>
          <w:b/>
          <w:i/>
          <w:color w:val="000000"/>
          <w:lang w:val="en-US" w:eastAsia="en-GB"/>
        </w:rPr>
        <w:t>”</w:t>
      </w:r>
    </w:p>
    <w:p w:rsidR="00317891" w:rsidRPr="00FB18DC" w:rsidRDefault="00317891" w:rsidP="0031789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color w:val="000000"/>
          <w:lang w:val="en-US" w:eastAsia="en-GB"/>
        </w:rPr>
      </w:pPr>
      <w:r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At </w:t>
      </w:r>
      <w:r w:rsidR="00CC6075"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the </w:t>
      </w:r>
      <w:r w:rsidR="0055469D"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University of Warsaw, </w:t>
      </w:r>
      <w:r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on Friday </w:t>
      </w:r>
      <w:r w:rsidR="00B34816">
        <w:rPr>
          <w:rFonts w:ascii="Verdana" w:eastAsia="Times New Roman" w:hAnsi="Verdana"/>
          <w:b/>
          <w:color w:val="000000"/>
          <w:lang w:val="en-US" w:eastAsia="en-GB"/>
        </w:rPr>
        <w:t>28</w:t>
      </w:r>
      <w:r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th </w:t>
      </w:r>
      <w:r w:rsidR="00B34816">
        <w:rPr>
          <w:rFonts w:ascii="Verdana" w:eastAsia="Times New Roman" w:hAnsi="Verdana"/>
          <w:b/>
          <w:color w:val="000000"/>
          <w:lang w:val="en-US" w:eastAsia="en-GB"/>
        </w:rPr>
        <w:t>April</w:t>
      </w:r>
      <w:r w:rsidR="00CC6075" w:rsidRPr="00FB18DC">
        <w:rPr>
          <w:rFonts w:ascii="Verdana" w:eastAsia="Times New Roman" w:hAnsi="Verdana"/>
          <w:b/>
          <w:color w:val="000000"/>
          <w:lang w:val="en-US" w:eastAsia="en-GB"/>
        </w:rPr>
        <w:t xml:space="preserve"> 2017</w:t>
      </w:r>
    </w:p>
    <w:p w:rsidR="00317891" w:rsidRPr="00FB18DC" w:rsidRDefault="00317891" w:rsidP="00FB18DC">
      <w:pPr>
        <w:rPr>
          <w:sz w:val="21"/>
          <w:szCs w:val="21"/>
        </w:rPr>
      </w:pPr>
      <w:r w:rsidRPr="00FB18DC">
        <w:rPr>
          <w:sz w:val="21"/>
          <w:szCs w:val="21"/>
        </w:rPr>
        <w:t xml:space="preserve">The Competition Law Scholars Forum (CLaSF) will be running a workshop on Friday </w:t>
      </w:r>
      <w:r w:rsidR="00B34816">
        <w:rPr>
          <w:sz w:val="21"/>
          <w:szCs w:val="21"/>
        </w:rPr>
        <w:t>28</w:t>
      </w:r>
      <w:bookmarkStart w:id="0" w:name="_GoBack"/>
      <w:bookmarkEnd w:id="0"/>
      <w:r w:rsidRPr="00FB18DC">
        <w:rPr>
          <w:sz w:val="21"/>
          <w:szCs w:val="21"/>
        </w:rPr>
        <w:t xml:space="preserve">th </w:t>
      </w:r>
      <w:r w:rsidR="00B34816">
        <w:rPr>
          <w:sz w:val="21"/>
          <w:szCs w:val="21"/>
        </w:rPr>
        <w:t>April</w:t>
      </w:r>
      <w:r w:rsidR="00CC6075" w:rsidRPr="00FB18DC">
        <w:rPr>
          <w:sz w:val="21"/>
          <w:szCs w:val="21"/>
        </w:rPr>
        <w:t xml:space="preserve"> 2017</w:t>
      </w:r>
      <w:r w:rsidRPr="00FB18DC">
        <w:rPr>
          <w:sz w:val="21"/>
          <w:szCs w:val="21"/>
        </w:rPr>
        <w:t xml:space="preserve"> at </w:t>
      </w:r>
      <w:r w:rsidR="00B21B79" w:rsidRPr="00FB18DC">
        <w:rPr>
          <w:sz w:val="21"/>
          <w:szCs w:val="21"/>
        </w:rPr>
        <w:t xml:space="preserve">the </w:t>
      </w:r>
      <w:r w:rsidR="00B21B79" w:rsidRPr="00FB18DC">
        <w:rPr>
          <w:rFonts w:eastAsia="Times New Roman"/>
          <w:color w:val="000000"/>
          <w:sz w:val="21"/>
          <w:szCs w:val="21"/>
          <w:lang w:val="en-US" w:eastAsia="en-GB"/>
        </w:rPr>
        <w:t>University of Warsaw, Faculty of Management</w:t>
      </w:r>
      <w:r w:rsidR="00101F74" w:rsidRPr="00FB18DC">
        <w:rPr>
          <w:sz w:val="21"/>
          <w:szCs w:val="21"/>
        </w:rPr>
        <w:t>, Warsaw, Poland</w:t>
      </w:r>
      <w:r w:rsidRPr="00FB18DC">
        <w:rPr>
          <w:sz w:val="21"/>
          <w:szCs w:val="21"/>
        </w:rPr>
        <w:t xml:space="preserve">. The subject of the workshop will be the broad theme of </w:t>
      </w:r>
      <w:r w:rsidR="00101F74" w:rsidRPr="00FB18DC">
        <w:rPr>
          <w:sz w:val="21"/>
          <w:szCs w:val="21"/>
        </w:rPr>
        <w:t>‘</w:t>
      </w:r>
      <w:r w:rsidR="00101F74" w:rsidRPr="00FB18DC">
        <w:rPr>
          <w:rFonts w:eastAsia="Times New Roman"/>
          <w:i/>
          <w:color w:val="000000"/>
          <w:sz w:val="21"/>
          <w:szCs w:val="21"/>
          <w:lang w:val="en-US" w:eastAsia="en-GB"/>
        </w:rPr>
        <w:t>Reform of Regulation 1/2003 – Effectiveness of NCAs and Beyond’</w:t>
      </w:r>
      <w:r w:rsidRPr="00FB18DC">
        <w:rPr>
          <w:sz w:val="21"/>
          <w:szCs w:val="21"/>
        </w:rPr>
        <w:t xml:space="preserve">. </w:t>
      </w:r>
    </w:p>
    <w:p w:rsidR="00317891" w:rsidRPr="00FB18DC" w:rsidRDefault="00317891" w:rsidP="00FB18DC">
      <w:pPr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sz w:val="21"/>
          <w:szCs w:val="21"/>
          <w:lang w:val="en-US"/>
        </w:rPr>
        <w:t>We invite abstract paper proposals from researchers, scholars, practitioners and policy-makers in relation to any issue within this broad theme.  We welcome theoretical, economics-driven, practice-based or policy focused papers, and we are interested in receiving abstracts for papers which may be focused on perspectives or experience at national, regional (</w:t>
      </w:r>
      <w:proofErr w:type="spellStart"/>
      <w:r w:rsidRPr="00FB18DC">
        <w:rPr>
          <w:sz w:val="21"/>
          <w:szCs w:val="21"/>
          <w:lang w:val="en-US"/>
        </w:rPr>
        <w:t>eg</w:t>
      </w:r>
      <w:proofErr w:type="spellEnd"/>
      <w:r w:rsidRPr="00FB18DC">
        <w:rPr>
          <w:sz w:val="21"/>
          <w:szCs w:val="21"/>
          <w:lang w:val="en-US"/>
        </w:rPr>
        <w:t xml:space="preserve"> EU), or international levels, or a combination.</w:t>
      </w:r>
    </w:p>
    <w:p w:rsidR="00317891" w:rsidRPr="00FB18DC" w:rsidRDefault="00101F74" w:rsidP="00317891">
      <w:p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Contributions</w:t>
      </w:r>
      <w:r w:rsidR="00317891"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 are invited particularly in the field of the following matters:</w:t>
      </w:r>
    </w:p>
    <w:p w:rsidR="00317891" w:rsidRPr="00FB18DC" w:rsidRDefault="00317891" w:rsidP="00317891">
      <w:p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</w:p>
    <w:p w:rsidR="00317891" w:rsidRPr="00FB18DC" w:rsidRDefault="00101F74" w:rsidP="0031789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Reform of Regulation 1/2003 – reactions to the EU Commission’s envisaged actions</w:t>
      </w:r>
      <w:r w:rsidRPr="00FB18DC">
        <w:rPr>
          <w:rStyle w:val="FootnoteReference"/>
          <w:rFonts w:eastAsia="Times New Roman"/>
          <w:color w:val="000000"/>
          <w:sz w:val="21"/>
          <w:szCs w:val="21"/>
          <w:lang w:val="en-US" w:eastAsia="en-GB"/>
        </w:rPr>
        <w:footnoteReference w:id="1"/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 </w:t>
      </w:r>
    </w:p>
    <w:p w:rsidR="00317891" w:rsidRPr="00FB18DC" w:rsidRDefault="0045165D" w:rsidP="0031789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Independence of </w:t>
      </w:r>
      <w:r w:rsidR="006A3BB3"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the </w:t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NCAs</w:t>
      </w:r>
    </w:p>
    <w:p w:rsidR="00317891" w:rsidRPr="00FB18DC" w:rsidRDefault="006A3BB3" w:rsidP="0031789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Weaknesses of the NCAs: effective sanctions, </w:t>
      </w:r>
      <w:r w:rsidR="0045165D" w:rsidRPr="00FB18DC">
        <w:rPr>
          <w:rFonts w:eastAsia="Times New Roman"/>
          <w:color w:val="000000"/>
          <w:sz w:val="21"/>
          <w:szCs w:val="21"/>
          <w:lang w:val="en-US" w:eastAsia="en-GB"/>
        </w:rPr>
        <w:t>leniency</w:t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 and inspections?</w:t>
      </w:r>
    </w:p>
    <w:p w:rsidR="006A3BB3" w:rsidRPr="00FB18DC" w:rsidRDefault="006A3BB3" w:rsidP="0031789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The NCAs financial and expert resources</w:t>
      </w:r>
    </w:p>
    <w:p w:rsidR="00317891" w:rsidRPr="00FB18DC" w:rsidRDefault="0045165D" w:rsidP="0031789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Balancing effectiveness of </w:t>
      </w:r>
      <w:r w:rsidR="006A3BB3"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the </w:t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NCAs with respect to due process rights</w:t>
      </w:r>
      <w:r w:rsidR="006A3BB3"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 and transparency</w:t>
      </w:r>
    </w:p>
    <w:p w:rsidR="00317891" w:rsidRPr="00FB18DC" w:rsidRDefault="00101F74" w:rsidP="00101F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Effectiveness of </w:t>
      </w:r>
      <w:r w:rsidR="006A3BB3"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the </w:t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NCAs and judicial review </w:t>
      </w:r>
      <w:r w:rsidR="0045165D" w:rsidRPr="00FB18DC">
        <w:rPr>
          <w:rFonts w:eastAsia="Times New Roman"/>
          <w:color w:val="000000"/>
          <w:sz w:val="21"/>
          <w:szCs w:val="21"/>
          <w:lang w:val="en-US" w:eastAsia="en-GB"/>
        </w:rPr>
        <w:t>by</w:t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 </w:t>
      </w:r>
      <w:r w:rsidR="0045165D" w:rsidRPr="00FB18DC">
        <w:rPr>
          <w:rFonts w:eastAsia="Times New Roman"/>
          <w:color w:val="000000"/>
          <w:sz w:val="21"/>
          <w:szCs w:val="21"/>
          <w:lang w:val="en-US" w:eastAsia="en-GB"/>
        </w:rPr>
        <w:t>national</w:t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 courts (scope, intensity, level of expertness, structure)</w:t>
      </w:r>
    </w:p>
    <w:p w:rsidR="0045165D" w:rsidRPr="00FB18DC" w:rsidRDefault="0045165D" w:rsidP="00101F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Functio</w:t>
      </w:r>
      <w:r w:rsidR="006A3BB3" w:rsidRPr="00FB18DC">
        <w:rPr>
          <w:rFonts w:eastAsia="Times New Roman"/>
          <w:color w:val="000000"/>
          <w:sz w:val="21"/>
          <w:szCs w:val="21"/>
          <w:lang w:val="en-US" w:eastAsia="en-GB"/>
        </w:rPr>
        <w:t>ning and effectiveness of the ECN</w:t>
      </w:r>
    </w:p>
    <w:p w:rsidR="006A3BB3" w:rsidRPr="00FB18DC" w:rsidRDefault="006A3BB3" w:rsidP="00101F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Application of EU competition law by NCAs – divergence or convergence?</w:t>
      </w:r>
    </w:p>
    <w:p w:rsidR="006A3BB3" w:rsidRPr="00FB18DC" w:rsidRDefault="006A3BB3" w:rsidP="00101F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The role of the EU Commission</w:t>
      </w:r>
    </w:p>
    <w:p w:rsidR="006A3BB3" w:rsidRPr="00FB18DC" w:rsidRDefault="006A3BB3" w:rsidP="00101F7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Local context and culture and the NCAs</w:t>
      </w:r>
    </w:p>
    <w:p w:rsidR="00317891" w:rsidRPr="00FB18DC" w:rsidRDefault="00317891" w:rsidP="003178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The conference will consist of a mix of invited speakers and contributions chosen following this call for papers.</w:t>
      </w:r>
    </w:p>
    <w:p w:rsidR="00317891" w:rsidRPr="00FB18DC" w:rsidRDefault="00317891" w:rsidP="003178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1"/>
          <w:szCs w:val="21"/>
          <w:lang w:val="en-US" w:eastAsia="en-GB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Any person interested in being considered on the basis of the call for papers at the conference is asked to contact Professor Barry Rodger at </w:t>
      </w:r>
      <w:hyperlink r:id="rId8" w:history="1">
        <w:r w:rsidRPr="00FB18DC">
          <w:rPr>
            <w:rStyle w:val="Hyperlink"/>
            <w:rFonts w:eastAsia="Times New Roman"/>
            <w:sz w:val="21"/>
            <w:szCs w:val="21"/>
            <w:lang w:val="en-US" w:eastAsia="en-GB"/>
          </w:rPr>
          <w:t>barry.j.rodger@strath.ac.uk</w:t>
        </w:r>
      </w:hyperlink>
      <w:r w:rsidRPr="00FB18DC">
        <w:rPr>
          <w:rFonts w:eastAsia="Times New Roman"/>
          <w:sz w:val="21"/>
          <w:szCs w:val="21"/>
          <w:lang w:val="en-US" w:eastAsia="en-GB"/>
        </w:rPr>
        <w:t xml:space="preserve">. </w:t>
      </w:r>
      <w:r w:rsidRPr="00FB18DC">
        <w:rPr>
          <w:rFonts w:eastAsia="Times New Roman"/>
          <w:b/>
          <w:bCs/>
          <w:color w:val="000000"/>
          <w:sz w:val="21"/>
          <w:szCs w:val="21"/>
          <w:lang w:val="en-US" w:eastAsia="en-GB"/>
        </w:rPr>
        <w:t xml:space="preserve">An abstract is required of approximately 500-1000 words, to be submitted by no later than </w:t>
      </w:r>
      <w:r w:rsidR="00CC6075" w:rsidRPr="00FB18DC">
        <w:rPr>
          <w:rFonts w:eastAsia="Times New Roman"/>
          <w:b/>
          <w:bCs/>
          <w:color w:val="000000"/>
          <w:sz w:val="21"/>
          <w:szCs w:val="21"/>
          <w:lang w:val="en-US" w:eastAsia="en-GB"/>
        </w:rPr>
        <w:t>December 15</w:t>
      </w:r>
      <w:r w:rsidRPr="00FB18DC">
        <w:rPr>
          <w:rFonts w:eastAsia="Times New Roman"/>
          <w:b/>
          <w:bCs/>
          <w:color w:val="000000"/>
          <w:sz w:val="21"/>
          <w:szCs w:val="21"/>
          <w:lang w:val="en-US" w:eastAsia="en-GB"/>
        </w:rPr>
        <w:t xml:space="preserve">, 2016, and decisions on successful submissions will be taken by </w:t>
      </w:r>
      <w:r w:rsidR="00CC6075" w:rsidRPr="00FB18DC">
        <w:rPr>
          <w:rFonts w:eastAsia="Times New Roman"/>
          <w:b/>
          <w:bCs/>
          <w:color w:val="000000"/>
          <w:sz w:val="21"/>
          <w:szCs w:val="21"/>
          <w:lang w:val="en-US" w:eastAsia="en-GB"/>
        </w:rPr>
        <w:t>January 15, 2017</w:t>
      </w:r>
      <w:r w:rsidRPr="00FB18DC">
        <w:rPr>
          <w:rFonts w:eastAsia="Times New Roman"/>
          <w:b/>
          <w:bCs/>
          <w:color w:val="000000"/>
          <w:sz w:val="21"/>
          <w:szCs w:val="21"/>
          <w:lang w:val="en-US" w:eastAsia="en-GB"/>
        </w:rPr>
        <w:t>.</w:t>
      </w: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 xml:space="preserve"> Submission of presentation/draft paper is also required a week prior to the workshop.</w:t>
      </w:r>
    </w:p>
    <w:p w:rsidR="00317891" w:rsidRPr="00FB18DC" w:rsidRDefault="00317891">
      <w:pPr>
        <w:rPr>
          <w:sz w:val="21"/>
          <w:szCs w:val="21"/>
          <w:lang w:val="en-US"/>
        </w:rPr>
      </w:pPr>
      <w:r w:rsidRPr="00FB18DC">
        <w:rPr>
          <w:rFonts w:eastAsia="Times New Roman"/>
          <w:color w:val="000000"/>
          <w:sz w:val="21"/>
          <w:szCs w:val="21"/>
          <w:lang w:val="en-US" w:eastAsia="en-GB"/>
        </w:rPr>
        <w:t>Papers presented at the conference can be submitted to the Competition Law Review editorial board with a view to being published in the Review. Note that the Review is a fully refereed scholarly law journal: submission does not guarantee publication.</w:t>
      </w:r>
    </w:p>
    <w:sectPr w:rsidR="00317891" w:rsidRPr="00FB18DC" w:rsidSect="00FB1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8" w:rsidRDefault="00C845B8" w:rsidP="00101F74">
      <w:pPr>
        <w:spacing w:after="0" w:line="240" w:lineRule="auto"/>
      </w:pPr>
      <w:r>
        <w:separator/>
      </w:r>
    </w:p>
  </w:endnote>
  <w:endnote w:type="continuationSeparator" w:id="0">
    <w:p w:rsidR="00C845B8" w:rsidRDefault="00C845B8" w:rsidP="001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8" w:rsidRDefault="00C845B8" w:rsidP="00101F74">
      <w:pPr>
        <w:spacing w:after="0" w:line="240" w:lineRule="auto"/>
      </w:pPr>
      <w:r>
        <w:separator/>
      </w:r>
    </w:p>
  </w:footnote>
  <w:footnote w:type="continuationSeparator" w:id="0">
    <w:p w:rsidR="00C845B8" w:rsidRDefault="00C845B8" w:rsidP="00101F74">
      <w:pPr>
        <w:spacing w:after="0" w:line="240" w:lineRule="auto"/>
      </w:pPr>
      <w:r>
        <w:continuationSeparator/>
      </w:r>
    </w:p>
  </w:footnote>
  <w:footnote w:id="1">
    <w:p w:rsidR="00101F74" w:rsidRPr="00CC6075" w:rsidRDefault="00101F74" w:rsidP="0045165D">
      <w:pPr>
        <w:rPr>
          <w:sz w:val="20"/>
          <w:szCs w:val="20"/>
          <w:lang w:val="en-US"/>
        </w:rPr>
      </w:pPr>
      <w:r w:rsidRPr="00CC6075">
        <w:rPr>
          <w:rStyle w:val="FootnoteReference"/>
          <w:sz w:val="20"/>
          <w:szCs w:val="20"/>
        </w:rPr>
        <w:footnoteRef/>
      </w:r>
      <w:r w:rsidRPr="00CC6075">
        <w:rPr>
          <w:sz w:val="20"/>
          <w:szCs w:val="20"/>
          <w:lang w:val="en-US"/>
        </w:rPr>
        <w:t xml:space="preserve"> </w:t>
      </w:r>
      <w:r w:rsidR="0045165D" w:rsidRPr="00CC6075">
        <w:rPr>
          <w:sz w:val="20"/>
          <w:szCs w:val="20"/>
          <w:lang w:val="en-US"/>
        </w:rPr>
        <w:t xml:space="preserve">See </w:t>
      </w:r>
      <w:hyperlink r:id="rId1" w:history="1">
        <w:r w:rsidR="0045165D" w:rsidRPr="00CC6075">
          <w:rPr>
            <w:rStyle w:val="Hyperlink"/>
            <w:sz w:val="20"/>
            <w:szCs w:val="20"/>
            <w:lang w:val="en-US"/>
          </w:rPr>
          <w:t>http://ec.europa.eu/smart-regulation/roadmaps/docs/2017_comp_001_iia_ecn_project_en.pdf</w:t>
        </w:r>
      </w:hyperlink>
      <w:r w:rsidR="0045165D" w:rsidRPr="00CC6075">
        <w:rPr>
          <w:sz w:val="20"/>
          <w:szCs w:val="20"/>
          <w:lang w:val="en-US"/>
        </w:rPr>
        <w:t xml:space="preserve">. See more </w:t>
      </w:r>
      <w:hyperlink r:id="rId2" w:history="1">
        <w:r w:rsidR="0045165D" w:rsidRPr="00CC6075">
          <w:rPr>
            <w:rStyle w:val="Hyperlink"/>
            <w:sz w:val="20"/>
            <w:szCs w:val="20"/>
            <w:lang w:val="en-US"/>
          </w:rPr>
          <w:t>http://ec.europa.eu/competition/consultations/2015_effective_enforcers/index_en.html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281"/>
    <w:multiLevelType w:val="hybridMultilevel"/>
    <w:tmpl w:val="3BDE38F2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A5EDC"/>
    <w:multiLevelType w:val="multilevel"/>
    <w:tmpl w:val="B63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647FD"/>
    <w:multiLevelType w:val="hybridMultilevel"/>
    <w:tmpl w:val="116A9594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58"/>
    <w:rsid w:val="00057C31"/>
    <w:rsid w:val="00101F74"/>
    <w:rsid w:val="00317891"/>
    <w:rsid w:val="0042434A"/>
    <w:rsid w:val="0045165D"/>
    <w:rsid w:val="004906E7"/>
    <w:rsid w:val="004E0763"/>
    <w:rsid w:val="0055469D"/>
    <w:rsid w:val="006A3BB3"/>
    <w:rsid w:val="007260F9"/>
    <w:rsid w:val="009E3FA7"/>
    <w:rsid w:val="00A46B5F"/>
    <w:rsid w:val="00B21B79"/>
    <w:rsid w:val="00B34816"/>
    <w:rsid w:val="00B63658"/>
    <w:rsid w:val="00C04AF7"/>
    <w:rsid w:val="00C845B8"/>
    <w:rsid w:val="00CC6075"/>
    <w:rsid w:val="00D971AE"/>
    <w:rsid w:val="00EB3577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DC"/>
    <w:rPr>
      <w:color w:val="404040" w:themeColor="text1" w:themeTint="BF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78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e1">
    <w:name w:val="Date1"/>
    <w:basedOn w:val="Normal"/>
    <w:rsid w:val="0031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31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317891"/>
    <w:rPr>
      <w:i/>
      <w:iCs/>
    </w:rPr>
  </w:style>
  <w:style w:type="character" w:styleId="Strong">
    <w:name w:val="Strong"/>
    <w:basedOn w:val="DefaultParagraphFont"/>
    <w:uiPriority w:val="22"/>
    <w:qFormat/>
    <w:rsid w:val="0031789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891"/>
    <w:pPr>
      <w:spacing w:after="0" w:line="240" w:lineRule="auto"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17891"/>
    <w:rPr>
      <w:rFonts w:ascii="Calibri" w:eastAsia="Calibri" w:hAnsi="Calibri" w:cs="Times New Roman"/>
      <w:szCs w:val="2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F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1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DC"/>
    <w:rPr>
      <w:color w:val="404040" w:themeColor="text1" w:themeTint="BF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78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e1">
    <w:name w:val="Date1"/>
    <w:basedOn w:val="Normal"/>
    <w:rsid w:val="0031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31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317891"/>
    <w:rPr>
      <w:i/>
      <w:iCs/>
    </w:rPr>
  </w:style>
  <w:style w:type="character" w:styleId="Strong">
    <w:name w:val="Strong"/>
    <w:basedOn w:val="DefaultParagraphFont"/>
    <w:uiPriority w:val="22"/>
    <w:qFormat/>
    <w:rsid w:val="0031789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891"/>
    <w:pPr>
      <w:spacing w:after="0" w:line="240" w:lineRule="auto"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17891"/>
    <w:rPr>
      <w:rFonts w:ascii="Calibri" w:eastAsia="Calibri" w:hAnsi="Calibri" w:cs="Times New Roman"/>
      <w:szCs w:val="21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F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0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j.rodger@strath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competition/consultations/2015_effective_enforcers/index_en.html" TargetMode="External"/><Relationship Id="rId1" Type="http://schemas.openxmlformats.org/officeDocument/2006/relationships/hyperlink" Target="http://ec.europa.eu/smart-regulation/roadmaps/docs/2017_comp_001_iia_ecn_project_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Bernatt</dc:creator>
  <cp:lastModifiedBy>uos</cp:lastModifiedBy>
  <cp:revision>2</cp:revision>
  <dcterms:created xsi:type="dcterms:W3CDTF">2016-10-13T16:16:00Z</dcterms:created>
  <dcterms:modified xsi:type="dcterms:W3CDTF">2016-10-13T16:16:00Z</dcterms:modified>
</cp:coreProperties>
</file>