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4AD6" w:rsidRPr="00E14AD6" w:rsidRDefault="00E14AD6" w:rsidP="00065FC8">
      <w:pPr>
        <w:jc w:val="center"/>
        <w:rPr>
          <w:rFonts w:ascii="Times New Roman" w:hAnsi="Times New Roman" w:cs="Times New Roman"/>
          <w:b/>
          <w:sz w:val="28"/>
          <w:szCs w:val="28"/>
        </w:rPr>
      </w:pPr>
      <w:r w:rsidRPr="00E14AD6">
        <w:rPr>
          <w:rFonts w:ascii="Times New Roman" w:hAnsi="Times New Roman" w:cs="Times New Roman"/>
          <w:b/>
          <w:sz w:val="28"/>
          <w:szCs w:val="28"/>
        </w:rPr>
        <w:t xml:space="preserve">Dyskrecjonalność w prawie antymonopolowym: perspektywa dra hab. Cezarego </w:t>
      </w:r>
      <w:proofErr w:type="spellStart"/>
      <w:r w:rsidRPr="00E14AD6">
        <w:rPr>
          <w:rFonts w:ascii="Times New Roman" w:hAnsi="Times New Roman" w:cs="Times New Roman"/>
          <w:b/>
          <w:sz w:val="28"/>
          <w:szCs w:val="28"/>
        </w:rPr>
        <w:t>Banasińskiego</w:t>
      </w:r>
      <w:proofErr w:type="spellEnd"/>
      <w:r w:rsidRPr="00E14AD6">
        <w:rPr>
          <w:rFonts w:ascii="Times New Roman" w:hAnsi="Times New Roman" w:cs="Times New Roman"/>
          <w:b/>
          <w:sz w:val="28"/>
          <w:szCs w:val="28"/>
        </w:rPr>
        <w:t xml:space="preserve"> </w:t>
      </w:r>
    </w:p>
    <w:p w:rsidR="00B461F3" w:rsidRDefault="00065FC8" w:rsidP="00065FC8">
      <w:pPr>
        <w:jc w:val="center"/>
        <w:rPr>
          <w:rFonts w:ascii="Times New Roman" w:hAnsi="Times New Roman" w:cs="Times New Roman"/>
          <w:b/>
          <w:sz w:val="24"/>
          <w:szCs w:val="24"/>
        </w:rPr>
      </w:pPr>
      <w:r w:rsidRPr="001C15CA">
        <w:rPr>
          <w:rFonts w:ascii="Times New Roman" w:hAnsi="Times New Roman" w:cs="Times New Roman"/>
          <w:b/>
          <w:sz w:val="24"/>
          <w:szCs w:val="24"/>
        </w:rPr>
        <w:t xml:space="preserve">(laudacja wygłoszona </w:t>
      </w:r>
      <w:r w:rsidR="00E14AD6">
        <w:rPr>
          <w:rFonts w:ascii="Times New Roman" w:hAnsi="Times New Roman" w:cs="Times New Roman"/>
          <w:b/>
          <w:sz w:val="24"/>
          <w:szCs w:val="24"/>
        </w:rPr>
        <w:t xml:space="preserve">przez prof. </w:t>
      </w:r>
      <w:proofErr w:type="spellStart"/>
      <w:r w:rsidR="00E14AD6">
        <w:rPr>
          <w:rFonts w:ascii="Times New Roman" w:hAnsi="Times New Roman" w:cs="Times New Roman"/>
          <w:b/>
          <w:sz w:val="24"/>
          <w:szCs w:val="24"/>
        </w:rPr>
        <w:t>WSIiZ</w:t>
      </w:r>
      <w:proofErr w:type="spellEnd"/>
      <w:r w:rsidR="00E14AD6">
        <w:rPr>
          <w:rFonts w:ascii="Times New Roman" w:hAnsi="Times New Roman" w:cs="Times New Roman"/>
          <w:b/>
          <w:sz w:val="24"/>
          <w:szCs w:val="24"/>
        </w:rPr>
        <w:t xml:space="preserve"> dr hab. Agatę Jurkowską-Gomułkę z okazji wręczenia </w:t>
      </w:r>
      <w:r w:rsidRPr="001C15CA">
        <w:rPr>
          <w:rFonts w:ascii="Times New Roman" w:hAnsi="Times New Roman" w:cs="Times New Roman"/>
          <w:b/>
          <w:sz w:val="24"/>
          <w:szCs w:val="24"/>
        </w:rPr>
        <w:t xml:space="preserve">Nagrody CARS </w:t>
      </w:r>
      <w:r w:rsidR="001C15CA" w:rsidRPr="001C15CA">
        <w:rPr>
          <w:rFonts w:ascii="Times New Roman" w:hAnsi="Times New Roman" w:cs="Times New Roman"/>
          <w:b/>
          <w:sz w:val="24"/>
          <w:szCs w:val="24"/>
        </w:rPr>
        <w:t>2016</w:t>
      </w:r>
      <w:r w:rsidRPr="001C15CA">
        <w:rPr>
          <w:rFonts w:ascii="Times New Roman" w:hAnsi="Times New Roman" w:cs="Times New Roman"/>
          <w:b/>
          <w:sz w:val="24"/>
          <w:szCs w:val="24"/>
        </w:rPr>
        <w:t>)</w:t>
      </w:r>
    </w:p>
    <w:p w:rsidR="00E14AD6" w:rsidRPr="001C15CA" w:rsidRDefault="00E14AD6" w:rsidP="00065FC8">
      <w:pPr>
        <w:jc w:val="center"/>
        <w:rPr>
          <w:rFonts w:ascii="Times New Roman" w:hAnsi="Times New Roman" w:cs="Times New Roman"/>
          <w:b/>
          <w:sz w:val="24"/>
          <w:szCs w:val="24"/>
        </w:rPr>
      </w:pPr>
      <w:r>
        <w:rPr>
          <w:rFonts w:ascii="Times New Roman" w:hAnsi="Times New Roman" w:cs="Times New Roman"/>
          <w:b/>
          <w:sz w:val="24"/>
          <w:szCs w:val="24"/>
        </w:rPr>
        <w:t>Warszawa, 7 czerwca 2016 r.</w:t>
      </w:r>
    </w:p>
    <w:p w:rsidR="00B461F3" w:rsidRDefault="00B461F3" w:rsidP="00532A60">
      <w:pPr>
        <w:jc w:val="both"/>
        <w:rPr>
          <w:rFonts w:ascii="Times New Roman" w:hAnsi="Times New Roman" w:cs="Times New Roman"/>
          <w:sz w:val="24"/>
          <w:szCs w:val="24"/>
        </w:rPr>
      </w:pPr>
    </w:p>
    <w:p w:rsidR="00532A60" w:rsidRDefault="00B461F3" w:rsidP="00532A60">
      <w:pPr>
        <w:jc w:val="both"/>
        <w:rPr>
          <w:rFonts w:ascii="Times New Roman" w:hAnsi="Times New Roman" w:cs="Times New Roman"/>
          <w:sz w:val="24"/>
          <w:szCs w:val="24"/>
        </w:rPr>
      </w:pPr>
      <w:r>
        <w:rPr>
          <w:rFonts w:ascii="Times New Roman" w:hAnsi="Times New Roman" w:cs="Times New Roman"/>
          <w:sz w:val="24"/>
          <w:szCs w:val="24"/>
        </w:rPr>
        <w:tab/>
      </w:r>
      <w:r w:rsidR="00532A60">
        <w:rPr>
          <w:rFonts w:ascii="Times New Roman" w:hAnsi="Times New Roman" w:cs="Times New Roman"/>
          <w:sz w:val="24"/>
          <w:szCs w:val="24"/>
        </w:rPr>
        <w:t xml:space="preserve">Z pewną ulgą przyjęłam wiadomość, że Kapituła Nagrody CARS po zapoznaniu się z wynikami głosowania autorów, którzy dedykowali swoje prace prawu i ekonomii ochrony konkurencji, cykliczną nagrodę Sowy dla najlepszej książki z obszaru ochrony konkurencji przyznała publikacji </w:t>
      </w:r>
      <w:r w:rsidR="00532A60" w:rsidRPr="00E14AD6">
        <w:rPr>
          <w:rFonts w:ascii="Times New Roman" w:hAnsi="Times New Roman" w:cs="Times New Roman"/>
          <w:i/>
          <w:sz w:val="24"/>
          <w:szCs w:val="24"/>
        </w:rPr>
        <w:t>Dyskrecjonalność w prawie antymonopolowym</w:t>
      </w:r>
      <w:r w:rsidR="00532A60">
        <w:rPr>
          <w:rFonts w:ascii="Times New Roman" w:hAnsi="Times New Roman" w:cs="Times New Roman"/>
          <w:sz w:val="24"/>
          <w:szCs w:val="24"/>
        </w:rPr>
        <w:t xml:space="preserve"> autorstwa Cezarego </w:t>
      </w:r>
      <w:proofErr w:type="spellStart"/>
      <w:r w:rsidR="00532A60">
        <w:rPr>
          <w:rFonts w:ascii="Times New Roman" w:hAnsi="Times New Roman" w:cs="Times New Roman"/>
          <w:sz w:val="24"/>
          <w:szCs w:val="24"/>
        </w:rPr>
        <w:t>Banasińskiego</w:t>
      </w:r>
      <w:proofErr w:type="spellEnd"/>
      <w:r w:rsidR="00E14AD6">
        <w:rPr>
          <w:rFonts w:ascii="Times New Roman" w:hAnsi="Times New Roman" w:cs="Times New Roman"/>
          <w:sz w:val="24"/>
          <w:szCs w:val="24"/>
        </w:rPr>
        <w:t xml:space="preserve"> (</w:t>
      </w:r>
      <w:proofErr w:type="spellStart"/>
      <w:r w:rsidR="00E14AD6">
        <w:rPr>
          <w:rFonts w:ascii="Times New Roman" w:hAnsi="Times New Roman" w:cs="Times New Roman"/>
          <w:sz w:val="24"/>
          <w:szCs w:val="24"/>
        </w:rPr>
        <w:t>Wolters</w:t>
      </w:r>
      <w:proofErr w:type="spellEnd"/>
      <w:r w:rsidR="00E14AD6">
        <w:rPr>
          <w:rFonts w:ascii="Times New Roman" w:hAnsi="Times New Roman" w:cs="Times New Roman"/>
          <w:sz w:val="24"/>
          <w:szCs w:val="24"/>
        </w:rPr>
        <w:t xml:space="preserve"> </w:t>
      </w:r>
      <w:proofErr w:type="spellStart"/>
      <w:r w:rsidR="00E14AD6">
        <w:rPr>
          <w:rFonts w:ascii="Times New Roman" w:hAnsi="Times New Roman" w:cs="Times New Roman"/>
          <w:sz w:val="24"/>
          <w:szCs w:val="24"/>
        </w:rPr>
        <w:t>Kluwer</w:t>
      </w:r>
      <w:proofErr w:type="spellEnd"/>
      <w:r w:rsidR="00E14AD6">
        <w:rPr>
          <w:rFonts w:ascii="Times New Roman" w:hAnsi="Times New Roman" w:cs="Times New Roman"/>
          <w:sz w:val="24"/>
          <w:szCs w:val="24"/>
        </w:rPr>
        <w:t>, Warszawa 2015)</w:t>
      </w:r>
      <w:r w:rsidR="00532A60">
        <w:rPr>
          <w:rFonts w:ascii="Times New Roman" w:hAnsi="Times New Roman" w:cs="Times New Roman"/>
          <w:sz w:val="24"/>
          <w:szCs w:val="24"/>
        </w:rPr>
        <w:t xml:space="preserve">. Przyjęłam tę informację z ulgą, </w:t>
      </w:r>
      <w:r w:rsidR="00D223B4">
        <w:rPr>
          <w:rFonts w:ascii="Times New Roman" w:hAnsi="Times New Roman" w:cs="Times New Roman"/>
          <w:sz w:val="24"/>
          <w:szCs w:val="24"/>
        </w:rPr>
        <w:t xml:space="preserve">bo </w:t>
      </w:r>
      <w:proofErr w:type="spellStart"/>
      <w:r w:rsidR="00D223B4">
        <w:rPr>
          <w:rFonts w:ascii="Times New Roman" w:hAnsi="Times New Roman" w:cs="Times New Roman"/>
          <w:sz w:val="24"/>
          <w:szCs w:val="24"/>
        </w:rPr>
        <w:t>laureacki</w:t>
      </w:r>
      <w:proofErr w:type="spellEnd"/>
      <w:r w:rsidR="00D223B4">
        <w:rPr>
          <w:rFonts w:ascii="Times New Roman" w:hAnsi="Times New Roman" w:cs="Times New Roman"/>
          <w:sz w:val="24"/>
          <w:szCs w:val="24"/>
        </w:rPr>
        <w:t xml:space="preserve"> obowiązek wygłoszenia laudacji dla książki, która nie wzbudziła mojego szczególnego zainteresowania lub - co gorsza - książki, której nie udało mi się skończyć (a nawet zacząć) - byłby prawdziwą katorgą.... Tymczasem trafiła mi się książka, którą pochwalić jest niewyobrażalnie łatwo. </w:t>
      </w:r>
    </w:p>
    <w:p w:rsidR="00B461F3" w:rsidRDefault="00E14AD6" w:rsidP="00532A60">
      <w:pPr>
        <w:jc w:val="both"/>
        <w:rPr>
          <w:rFonts w:ascii="Times New Roman" w:hAnsi="Times New Roman" w:cs="Times New Roman"/>
          <w:sz w:val="24"/>
          <w:szCs w:val="24"/>
        </w:rPr>
      </w:pPr>
      <w:r>
        <w:rPr>
          <w:rFonts w:ascii="Times New Roman" w:hAnsi="Times New Roman" w:cs="Times New Roman"/>
          <w:sz w:val="24"/>
          <w:szCs w:val="24"/>
        </w:rPr>
        <w:tab/>
      </w:r>
      <w:r w:rsidR="00D223B4">
        <w:rPr>
          <w:rFonts w:ascii="Times New Roman" w:hAnsi="Times New Roman" w:cs="Times New Roman"/>
          <w:sz w:val="24"/>
          <w:szCs w:val="24"/>
        </w:rPr>
        <w:t>Dyskrecjonalne stosowanie prawa antymonopolowego to jest coś, czego każdy prawnik, niezależnie, czy parający się nauką prawą, czy praktyką, jednocześnie - w zależności od okoliczności - nienawidzi i pożąda. Uznaniowości w orzekaniu organów stosujących prawo konkurencji nie lubimy, bo naraża nas na ryzyko nieprzewidywalności rozwiązań</w:t>
      </w:r>
      <w:r w:rsidR="00B461F3">
        <w:rPr>
          <w:rFonts w:ascii="Times New Roman" w:hAnsi="Times New Roman" w:cs="Times New Roman"/>
          <w:sz w:val="24"/>
          <w:szCs w:val="24"/>
        </w:rPr>
        <w:t xml:space="preserve">, nie pozwala na bezrefleksyjne stosowanie wypracowanych kiedyś standardów. A co najgorsze - uznaniowość skazuje nas, </w:t>
      </w:r>
      <w:proofErr w:type="spellStart"/>
      <w:r w:rsidR="00B461F3">
        <w:rPr>
          <w:rFonts w:ascii="Times New Roman" w:hAnsi="Times New Roman" w:cs="Times New Roman"/>
          <w:sz w:val="24"/>
          <w:szCs w:val="24"/>
        </w:rPr>
        <w:t>prawników-antytrustowców</w:t>
      </w:r>
      <w:proofErr w:type="spellEnd"/>
      <w:r w:rsidR="00B461F3">
        <w:rPr>
          <w:rFonts w:ascii="Times New Roman" w:hAnsi="Times New Roman" w:cs="Times New Roman"/>
          <w:sz w:val="24"/>
          <w:szCs w:val="24"/>
        </w:rPr>
        <w:t xml:space="preserve">, na niekończącą się udrękę lektury każdej, dosłownie każdej decyzji Prezesa </w:t>
      </w:r>
      <w:proofErr w:type="spellStart"/>
      <w:r w:rsidR="00B461F3">
        <w:rPr>
          <w:rFonts w:ascii="Times New Roman" w:hAnsi="Times New Roman" w:cs="Times New Roman"/>
          <w:sz w:val="24"/>
          <w:szCs w:val="24"/>
        </w:rPr>
        <w:t>UOKiK</w:t>
      </w:r>
      <w:proofErr w:type="spellEnd"/>
      <w:r w:rsidR="00B461F3">
        <w:rPr>
          <w:rFonts w:ascii="Times New Roman" w:hAnsi="Times New Roman" w:cs="Times New Roman"/>
          <w:sz w:val="24"/>
          <w:szCs w:val="24"/>
        </w:rPr>
        <w:t xml:space="preserve">, i każdego orzeczenia sądowego wydanego wskutek odwołania od decyzji, a następnie orzeczeń przyjętych w dalszym toku kontroli instancyjnej. Wszystkie te niegodności nie eliminują jednak tego pragnienia, ale i nadziei, że </w:t>
      </w:r>
      <w:r w:rsidR="00B57A8B">
        <w:rPr>
          <w:rFonts w:ascii="Times New Roman" w:hAnsi="Times New Roman" w:cs="Times New Roman"/>
          <w:sz w:val="24"/>
          <w:szCs w:val="24"/>
        </w:rPr>
        <w:t>właśnie dzięki tej, w innych okolicznościach znienawidzonej, uznaniowości, nastąpi jakaś dobra zmiana, sprawa z pozoru beznadziejna okaże się sprawą rokującą, a zmieniony kierunek praktyki decyzyj</w:t>
      </w:r>
      <w:r w:rsidR="009C35DC">
        <w:rPr>
          <w:rFonts w:ascii="Times New Roman" w:hAnsi="Times New Roman" w:cs="Times New Roman"/>
          <w:sz w:val="24"/>
          <w:szCs w:val="24"/>
        </w:rPr>
        <w:t xml:space="preserve">nej czy orzecznictwa pozwoli na opracowanie nowej publikacji, wartej </w:t>
      </w:r>
      <w:r w:rsidR="00B57A8B">
        <w:rPr>
          <w:rFonts w:ascii="Times New Roman" w:hAnsi="Times New Roman" w:cs="Times New Roman"/>
          <w:sz w:val="24"/>
          <w:szCs w:val="24"/>
        </w:rPr>
        <w:t xml:space="preserve">co najmniej </w:t>
      </w:r>
      <w:r w:rsidR="009C35DC">
        <w:rPr>
          <w:rFonts w:ascii="Times New Roman" w:hAnsi="Times New Roman" w:cs="Times New Roman"/>
          <w:sz w:val="24"/>
          <w:szCs w:val="24"/>
        </w:rPr>
        <w:t xml:space="preserve">kilkunastu punktów w którymś z czasopism listy B, a nawet listy A.  </w:t>
      </w:r>
    </w:p>
    <w:p w:rsidR="008A075F" w:rsidRDefault="009C35DC" w:rsidP="00532A60">
      <w:pPr>
        <w:jc w:val="both"/>
        <w:rPr>
          <w:rFonts w:ascii="Times New Roman" w:hAnsi="Times New Roman" w:cs="Times New Roman"/>
          <w:sz w:val="24"/>
          <w:szCs w:val="24"/>
        </w:rPr>
      </w:pPr>
      <w:r>
        <w:rPr>
          <w:rFonts w:ascii="Times New Roman" w:hAnsi="Times New Roman" w:cs="Times New Roman"/>
          <w:sz w:val="24"/>
          <w:szCs w:val="24"/>
        </w:rPr>
        <w:tab/>
        <w:t xml:space="preserve">Dziwnym wydaje się, że w piśmiennictwie prawa ochrony konkurencji, do czasu opublikowania książki prof. </w:t>
      </w:r>
      <w:proofErr w:type="spellStart"/>
      <w:r>
        <w:rPr>
          <w:rFonts w:ascii="Times New Roman" w:hAnsi="Times New Roman" w:cs="Times New Roman"/>
          <w:sz w:val="24"/>
          <w:szCs w:val="24"/>
        </w:rPr>
        <w:t>Banasińskiego</w:t>
      </w:r>
      <w:proofErr w:type="spellEnd"/>
      <w:r>
        <w:rPr>
          <w:rFonts w:ascii="Times New Roman" w:hAnsi="Times New Roman" w:cs="Times New Roman"/>
          <w:sz w:val="24"/>
          <w:szCs w:val="24"/>
        </w:rPr>
        <w:t>, w zasadzie nikt tego tematu kompleksowo nie podjął...</w:t>
      </w:r>
      <w:r w:rsidR="00E14AD6">
        <w:rPr>
          <w:rFonts w:ascii="Times New Roman" w:hAnsi="Times New Roman" w:cs="Times New Roman"/>
          <w:sz w:val="24"/>
          <w:szCs w:val="24"/>
        </w:rPr>
        <w:t xml:space="preserve"> </w:t>
      </w:r>
      <w:r>
        <w:rPr>
          <w:rFonts w:ascii="Times New Roman" w:hAnsi="Times New Roman" w:cs="Times New Roman"/>
          <w:sz w:val="24"/>
          <w:szCs w:val="24"/>
        </w:rPr>
        <w:t xml:space="preserve">A trzeba dodać, że doktryna prawa ochrony konkurencji obfituje wręcz w znamienitych naukowców, z których gros zgromadzonych jest dzisiaj w tej sali. </w:t>
      </w:r>
      <w:r w:rsidR="008A075F">
        <w:rPr>
          <w:rFonts w:ascii="Times New Roman" w:hAnsi="Times New Roman" w:cs="Times New Roman"/>
          <w:sz w:val="24"/>
          <w:szCs w:val="24"/>
        </w:rPr>
        <w:t xml:space="preserve">W słowie odautorskim w swojej książce prof. </w:t>
      </w:r>
      <w:proofErr w:type="spellStart"/>
      <w:r w:rsidR="008A075F">
        <w:rPr>
          <w:rFonts w:ascii="Times New Roman" w:hAnsi="Times New Roman" w:cs="Times New Roman"/>
          <w:sz w:val="24"/>
          <w:szCs w:val="24"/>
        </w:rPr>
        <w:t>Banasiński</w:t>
      </w:r>
      <w:proofErr w:type="spellEnd"/>
      <w:r w:rsidR="008A075F">
        <w:rPr>
          <w:rFonts w:ascii="Times New Roman" w:hAnsi="Times New Roman" w:cs="Times New Roman"/>
          <w:sz w:val="24"/>
          <w:szCs w:val="24"/>
        </w:rPr>
        <w:t xml:space="preserve"> słusznie zauważył, że problem luzów </w:t>
      </w:r>
      <w:r w:rsidR="008A075F">
        <w:rPr>
          <w:rFonts w:ascii="Times New Roman" w:hAnsi="Times New Roman" w:cs="Times New Roman"/>
          <w:sz w:val="24"/>
          <w:szCs w:val="24"/>
        </w:rPr>
        <w:lastRenderedPageBreak/>
        <w:t>normatywnych prawa antymonopolowego, będący przecież specyfiką tej dziedziny, znajdował się na marginesie rozważa do</w:t>
      </w:r>
      <w:r w:rsidR="00231273">
        <w:rPr>
          <w:rFonts w:ascii="Times New Roman" w:hAnsi="Times New Roman" w:cs="Times New Roman"/>
          <w:sz w:val="24"/>
          <w:szCs w:val="24"/>
        </w:rPr>
        <w:t xml:space="preserve">ktryny. Dalej, cytując Autora: </w:t>
      </w:r>
      <w:r w:rsidR="00231273" w:rsidRPr="00F72721">
        <w:rPr>
          <w:iCs/>
        </w:rPr>
        <w:t>„</w:t>
      </w:r>
      <w:r w:rsidR="008A075F">
        <w:rPr>
          <w:rFonts w:ascii="Times New Roman" w:hAnsi="Times New Roman" w:cs="Times New Roman"/>
          <w:sz w:val="24"/>
          <w:szCs w:val="24"/>
        </w:rPr>
        <w:t>Tymczasem tradycyjne poglądy na prawo, nierozerwalnie związane z pozytywizmem prawniczym, oparte na koncepcji stosowania prawa jako sylogizmu prawniczego pozostają całkowicie nieprzydatne w kontekście prawa antymonopolowego. Prawo antymonopolowe tworzy podstawy do wyjątkowo szerokiego dyskrecjonalnego działania organu administracji, umożliwiając mu znaczną swobodę rozstrzygnięć podejmowa</w:t>
      </w:r>
      <w:r w:rsidR="00231273">
        <w:rPr>
          <w:rFonts w:ascii="Times New Roman" w:hAnsi="Times New Roman" w:cs="Times New Roman"/>
          <w:sz w:val="24"/>
          <w:szCs w:val="24"/>
        </w:rPr>
        <w:t>nych na gruncie norm tego prawa</w:t>
      </w:r>
      <w:r w:rsidR="00231273" w:rsidRPr="004A0C54">
        <w:rPr>
          <w:iCs/>
        </w:rPr>
        <w:t>”</w:t>
      </w:r>
      <w:r w:rsidR="008A075F">
        <w:rPr>
          <w:rFonts w:ascii="Times New Roman" w:hAnsi="Times New Roman" w:cs="Times New Roman"/>
          <w:sz w:val="24"/>
          <w:szCs w:val="24"/>
        </w:rPr>
        <w:t xml:space="preserve"> (s. 11). </w:t>
      </w:r>
    </w:p>
    <w:p w:rsidR="008A075F" w:rsidRDefault="008A075F" w:rsidP="00532A60">
      <w:pPr>
        <w:jc w:val="both"/>
        <w:rPr>
          <w:rFonts w:ascii="Times New Roman" w:hAnsi="Times New Roman" w:cs="Times New Roman"/>
          <w:sz w:val="24"/>
          <w:szCs w:val="24"/>
        </w:rPr>
      </w:pPr>
      <w:r>
        <w:rPr>
          <w:rFonts w:ascii="Times New Roman" w:hAnsi="Times New Roman" w:cs="Times New Roman"/>
          <w:sz w:val="24"/>
          <w:szCs w:val="24"/>
        </w:rPr>
        <w:tab/>
      </w:r>
      <w:r w:rsidR="009C35DC">
        <w:rPr>
          <w:rFonts w:ascii="Times New Roman" w:hAnsi="Times New Roman" w:cs="Times New Roman"/>
          <w:sz w:val="24"/>
          <w:szCs w:val="24"/>
        </w:rPr>
        <w:t>Moje prywatne wyjaśnienie tego, dlaczego tak mało uznaniowości było w dotychczasowym piśmiennictwie brzmi następująco: nikt nie miał wystarczająco dużo odwagi. Bo z całą pewnością zmierzenie się z problema</w:t>
      </w:r>
      <w:r w:rsidR="004F6C6A">
        <w:rPr>
          <w:rFonts w:ascii="Times New Roman" w:hAnsi="Times New Roman" w:cs="Times New Roman"/>
          <w:sz w:val="24"/>
          <w:szCs w:val="24"/>
        </w:rPr>
        <w:t xml:space="preserve">tyką uznaniowości wymaga odwagi. Wymaga też ogromnej wiedzy i </w:t>
      </w:r>
      <w:r w:rsidR="009C35DC">
        <w:rPr>
          <w:rFonts w:ascii="Times New Roman" w:hAnsi="Times New Roman" w:cs="Times New Roman"/>
          <w:sz w:val="24"/>
          <w:szCs w:val="24"/>
        </w:rPr>
        <w:t>odrobiny szaleństwa...</w:t>
      </w:r>
      <w:r w:rsidR="004F6C6A">
        <w:rPr>
          <w:rFonts w:ascii="Times New Roman" w:hAnsi="Times New Roman" w:cs="Times New Roman"/>
          <w:sz w:val="24"/>
          <w:szCs w:val="24"/>
        </w:rPr>
        <w:t xml:space="preserve"> Te elementy pozwoliłyby wielu z nas stworzyć książkę dobrą. Aby jednak stworzyć książkę bardzo dobrą, potrzeba było czegoś więcej: absolutnej, organicznej znajomości mechanizmów funkcjonowania organu ochrony konkurencji. Książka poświęcona dyskrecjonalności w prawie antymonopolowym, przygotowana przez naukowca, który przez sześć lat pełnił funkcję Prezesa </w:t>
      </w:r>
      <w:proofErr w:type="spellStart"/>
      <w:r w:rsidR="004F6C6A">
        <w:rPr>
          <w:rFonts w:ascii="Times New Roman" w:hAnsi="Times New Roman" w:cs="Times New Roman"/>
          <w:sz w:val="24"/>
          <w:szCs w:val="24"/>
        </w:rPr>
        <w:t>UOKiK</w:t>
      </w:r>
      <w:proofErr w:type="spellEnd"/>
      <w:r w:rsidR="004F6C6A">
        <w:rPr>
          <w:rFonts w:ascii="Times New Roman" w:hAnsi="Times New Roman" w:cs="Times New Roman"/>
          <w:sz w:val="24"/>
          <w:szCs w:val="24"/>
        </w:rPr>
        <w:t>, a następnie przeszedł na drugą stronę mocy i zajął się pr</w:t>
      </w:r>
      <w:r>
        <w:rPr>
          <w:rFonts w:ascii="Times New Roman" w:hAnsi="Times New Roman" w:cs="Times New Roman"/>
          <w:sz w:val="24"/>
          <w:szCs w:val="24"/>
        </w:rPr>
        <w:t>aktyką, ma niepodważalnie unikatow</w:t>
      </w:r>
      <w:r w:rsidR="004F6C6A">
        <w:rPr>
          <w:rFonts w:ascii="Times New Roman" w:hAnsi="Times New Roman" w:cs="Times New Roman"/>
          <w:sz w:val="24"/>
          <w:szCs w:val="24"/>
        </w:rPr>
        <w:t xml:space="preserve">ą wartość. Spośród wielu naukowców, którzy mogli zająć </w:t>
      </w:r>
      <w:r>
        <w:rPr>
          <w:rFonts w:ascii="Times New Roman" w:hAnsi="Times New Roman" w:cs="Times New Roman"/>
          <w:sz w:val="24"/>
          <w:szCs w:val="24"/>
        </w:rPr>
        <w:t>się</w:t>
      </w:r>
      <w:r w:rsidR="004F6C6A">
        <w:rPr>
          <w:rFonts w:ascii="Times New Roman" w:hAnsi="Times New Roman" w:cs="Times New Roman"/>
          <w:sz w:val="24"/>
          <w:szCs w:val="24"/>
        </w:rPr>
        <w:t xml:space="preserve"> tematyką</w:t>
      </w:r>
      <w:r>
        <w:rPr>
          <w:rFonts w:ascii="Times New Roman" w:hAnsi="Times New Roman" w:cs="Times New Roman"/>
          <w:sz w:val="24"/>
          <w:szCs w:val="24"/>
        </w:rPr>
        <w:t xml:space="preserve"> dyskrecjonalności</w:t>
      </w:r>
      <w:r w:rsidR="004F6C6A">
        <w:rPr>
          <w:rFonts w:ascii="Times New Roman" w:hAnsi="Times New Roman" w:cs="Times New Roman"/>
          <w:sz w:val="24"/>
          <w:szCs w:val="24"/>
        </w:rPr>
        <w:t xml:space="preserve">, w pierwszej kolejności powinien był zająć się nią ktoś, </w:t>
      </w:r>
      <w:r>
        <w:rPr>
          <w:rFonts w:ascii="Times New Roman" w:hAnsi="Times New Roman" w:cs="Times New Roman"/>
          <w:sz w:val="24"/>
          <w:szCs w:val="24"/>
        </w:rPr>
        <w:t xml:space="preserve">kto był kreatorem polityki antymonopolowej. Profesor Cezary </w:t>
      </w:r>
      <w:proofErr w:type="spellStart"/>
      <w:r>
        <w:rPr>
          <w:rFonts w:ascii="Times New Roman" w:hAnsi="Times New Roman" w:cs="Times New Roman"/>
          <w:sz w:val="24"/>
          <w:szCs w:val="24"/>
        </w:rPr>
        <w:t>Banasiński</w:t>
      </w:r>
      <w:proofErr w:type="spellEnd"/>
      <w:r>
        <w:rPr>
          <w:rFonts w:ascii="Times New Roman" w:hAnsi="Times New Roman" w:cs="Times New Roman"/>
          <w:sz w:val="24"/>
          <w:szCs w:val="24"/>
        </w:rPr>
        <w:t xml:space="preserve"> podjął to wyzwanie i za to, w imieniu środowiska </w:t>
      </w:r>
      <w:proofErr w:type="spellStart"/>
      <w:r>
        <w:rPr>
          <w:rFonts w:ascii="Times New Roman" w:hAnsi="Times New Roman" w:cs="Times New Roman"/>
          <w:sz w:val="24"/>
          <w:szCs w:val="24"/>
        </w:rPr>
        <w:t>antytrustowców</w:t>
      </w:r>
      <w:proofErr w:type="spellEnd"/>
      <w:r>
        <w:rPr>
          <w:rFonts w:ascii="Times New Roman" w:hAnsi="Times New Roman" w:cs="Times New Roman"/>
          <w:sz w:val="24"/>
          <w:szCs w:val="24"/>
        </w:rPr>
        <w:t>, bardzo Panu dziękuję.</w:t>
      </w:r>
    </w:p>
    <w:p w:rsidR="00390A9F" w:rsidRDefault="008A075F" w:rsidP="00532A60">
      <w:pPr>
        <w:jc w:val="both"/>
        <w:rPr>
          <w:rFonts w:ascii="Times New Roman" w:hAnsi="Times New Roman" w:cs="Times New Roman"/>
          <w:sz w:val="24"/>
          <w:szCs w:val="24"/>
        </w:rPr>
      </w:pPr>
      <w:r>
        <w:rPr>
          <w:rFonts w:ascii="Times New Roman" w:hAnsi="Times New Roman" w:cs="Times New Roman"/>
          <w:sz w:val="24"/>
          <w:szCs w:val="24"/>
        </w:rPr>
        <w:t xml:space="preserve"> </w:t>
      </w:r>
      <w:r w:rsidR="00D14E6E">
        <w:rPr>
          <w:rFonts w:ascii="Times New Roman" w:hAnsi="Times New Roman" w:cs="Times New Roman"/>
          <w:sz w:val="24"/>
          <w:szCs w:val="24"/>
        </w:rPr>
        <w:tab/>
        <w:t xml:space="preserve">Na potrzeby swoich rozważań Autor przyjął szerokie rozumienie dyskrecjonalności, podkreślając, że pojęcie to "nie ma jednoznacznie sprecyzowanych granic treściowych" (s. 11). Dyskrecjonalność zdaniem Autora należy "pojmować szeroko jako - wynikające z zamierzonego przez ustawodawcę luzu normatywnego - wszelkie formy swobody orzeczniczej organu stosującego prawo w jej aspekcie decyzyjnym, jak i interpretacyjnym w odniesieniu do norm prawnych zawierających klauzule generalne, inne zwroty niedookreślone i zwroty szacunkowe" (s. 11). Szerokie rozumienie pojęcia dyskrecjonalności rozciąga się także zdaniem Autora na swobodą ocenę dowodów przez organ antymonopolowy. </w:t>
      </w:r>
      <w:r w:rsidR="00390A9F">
        <w:rPr>
          <w:rFonts w:ascii="Times New Roman" w:hAnsi="Times New Roman" w:cs="Times New Roman"/>
          <w:sz w:val="24"/>
          <w:szCs w:val="24"/>
        </w:rPr>
        <w:t xml:space="preserve">Należy dodać, że teoretycznemu ujęciu dyskrecjonalności prof. </w:t>
      </w:r>
      <w:proofErr w:type="spellStart"/>
      <w:r w:rsidR="00390A9F">
        <w:rPr>
          <w:rFonts w:ascii="Times New Roman" w:hAnsi="Times New Roman" w:cs="Times New Roman"/>
          <w:sz w:val="24"/>
          <w:szCs w:val="24"/>
        </w:rPr>
        <w:t>Banasiński</w:t>
      </w:r>
      <w:proofErr w:type="spellEnd"/>
      <w:r w:rsidR="00390A9F">
        <w:rPr>
          <w:rFonts w:ascii="Times New Roman" w:hAnsi="Times New Roman" w:cs="Times New Roman"/>
          <w:sz w:val="24"/>
          <w:szCs w:val="24"/>
        </w:rPr>
        <w:t xml:space="preserve"> poświęca cały podrozdział w rozdziale I. (6. Dyskrecjonalność w prawie), w którym analizuje najpierw dorobek orzecznictwa konstytucyjnego w odniesieniu do problematyki dyskrecjonalności, a następnie </w:t>
      </w:r>
      <w:r w:rsidR="0008501F">
        <w:rPr>
          <w:rFonts w:ascii="Times New Roman" w:hAnsi="Times New Roman" w:cs="Times New Roman"/>
          <w:sz w:val="24"/>
          <w:szCs w:val="24"/>
        </w:rPr>
        <w:t xml:space="preserve">poglądy i koncepcje doktryny na uznanie administracyjne i inne przejawy dyskrecjonalności administracji. Analizy te prowadzą do wniosku, że "dyskrecjonalność jest szeroko rozumianą </w:t>
      </w:r>
      <w:r w:rsidR="0008501F">
        <w:rPr>
          <w:rFonts w:ascii="Times New Roman" w:hAnsi="Times New Roman" w:cs="Times New Roman"/>
          <w:sz w:val="24"/>
          <w:szCs w:val="24"/>
        </w:rPr>
        <w:lastRenderedPageBreak/>
        <w:t>swobodą decyzyjną dotyczącą wszystkich elementów składowych (czynności i rozumowań) decyzyjnego procesu stosowania prawa" (s. 118). W takim ujęciu uznanie administracyjne jest "terminem pojęciowo węższym, mieszcząc się całkowicie w pojęciu dyskrecjonalności działania administracji, będąc wyłącznie jednym z rodzajów dyskrecjonalności" (s. 118-119).</w:t>
      </w:r>
    </w:p>
    <w:p w:rsidR="009C35DC" w:rsidRDefault="0008501F" w:rsidP="00532A60">
      <w:pPr>
        <w:jc w:val="both"/>
        <w:rPr>
          <w:rFonts w:ascii="Times New Roman" w:hAnsi="Times New Roman" w:cs="Times New Roman"/>
          <w:sz w:val="24"/>
          <w:szCs w:val="24"/>
        </w:rPr>
      </w:pPr>
      <w:r>
        <w:rPr>
          <w:rFonts w:ascii="Times New Roman" w:hAnsi="Times New Roman" w:cs="Times New Roman"/>
          <w:sz w:val="24"/>
          <w:szCs w:val="24"/>
        </w:rPr>
        <w:tab/>
      </w:r>
      <w:r w:rsidR="00D14E6E">
        <w:rPr>
          <w:rFonts w:ascii="Times New Roman" w:hAnsi="Times New Roman" w:cs="Times New Roman"/>
          <w:sz w:val="24"/>
          <w:szCs w:val="24"/>
        </w:rPr>
        <w:t>Zdefiniowana w ten sposób dyskrecjonalność znajduje swoje przełożenie na strukturę prezentacji problematyki. Rozdział II</w:t>
      </w:r>
      <w:r w:rsidR="00390A9F">
        <w:rPr>
          <w:rFonts w:ascii="Times New Roman" w:hAnsi="Times New Roman" w:cs="Times New Roman"/>
          <w:sz w:val="24"/>
          <w:szCs w:val="24"/>
        </w:rPr>
        <w:t>.</w:t>
      </w:r>
      <w:r w:rsidR="00D14E6E">
        <w:rPr>
          <w:rFonts w:ascii="Times New Roman" w:hAnsi="Times New Roman" w:cs="Times New Roman"/>
          <w:sz w:val="24"/>
          <w:szCs w:val="24"/>
        </w:rPr>
        <w:t xml:space="preserve"> książki poświęcony jest kompetencjom organu antymonopolowego konkretyzującym </w:t>
      </w:r>
      <w:proofErr w:type="spellStart"/>
      <w:r w:rsidR="00D14E6E">
        <w:rPr>
          <w:rFonts w:ascii="Times New Roman" w:hAnsi="Times New Roman" w:cs="Times New Roman"/>
          <w:sz w:val="24"/>
          <w:szCs w:val="24"/>
        </w:rPr>
        <w:t>metaklauzulom</w:t>
      </w:r>
      <w:proofErr w:type="spellEnd"/>
      <w:r w:rsidR="00D14E6E">
        <w:rPr>
          <w:rFonts w:ascii="Times New Roman" w:hAnsi="Times New Roman" w:cs="Times New Roman"/>
          <w:sz w:val="24"/>
          <w:szCs w:val="24"/>
        </w:rPr>
        <w:t xml:space="preserve"> generalnym z art. 1 </w:t>
      </w:r>
      <w:proofErr w:type="spellStart"/>
      <w:r w:rsidR="00D14E6E">
        <w:rPr>
          <w:rFonts w:ascii="Times New Roman" w:hAnsi="Times New Roman" w:cs="Times New Roman"/>
          <w:sz w:val="24"/>
          <w:szCs w:val="24"/>
        </w:rPr>
        <w:t>uokik</w:t>
      </w:r>
      <w:proofErr w:type="spellEnd"/>
      <w:r w:rsidR="00DA2FC3">
        <w:rPr>
          <w:rFonts w:ascii="Times New Roman" w:hAnsi="Times New Roman" w:cs="Times New Roman"/>
          <w:sz w:val="24"/>
          <w:szCs w:val="24"/>
        </w:rPr>
        <w:t xml:space="preserve">, rozdział </w:t>
      </w:r>
      <w:r w:rsidR="00390A9F">
        <w:rPr>
          <w:rFonts w:ascii="Times New Roman" w:hAnsi="Times New Roman" w:cs="Times New Roman"/>
          <w:sz w:val="24"/>
          <w:szCs w:val="24"/>
        </w:rPr>
        <w:t xml:space="preserve">III. - normatywnym otwartym definicjom rynku właściwego i pozycji dominującej, wreszcie rozdział VI. dedykowany jest luzom normatywnym wykorzystującym "zwroty szacunkowe", czyli stosowaniu kar w administracyjnym procesie antymonopolowym. </w:t>
      </w:r>
      <w:r>
        <w:rPr>
          <w:rFonts w:ascii="Times New Roman" w:hAnsi="Times New Roman" w:cs="Times New Roman"/>
          <w:sz w:val="24"/>
          <w:szCs w:val="24"/>
        </w:rPr>
        <w:t xml:space="preserve">Rozdział IV. i rozdział V. obejmują analizy wymiaru i zakresu dyskrecjonalności na gruncie dwóch obszarów </w:t>
      </w:r>
      <w:r w:rsidR="001B4B7E">
        <w:rPr>
          <w:rFonts w:ascii="Times New Roman" w:hAnsi="Times New Roman" w:cs="Times New Roman"/>
          <w:sz w:val="24"/>
          <w:szCs w:val="24"/>
        </w:rPr>
        <w:t xml:space="preserve">stosowania ustawy o ochronie konkurencji i konsumentów (w odniesieniu do konkurencji): praktyk ograniczających konkurencję i kontroli koncentracji. </w:t>
      </w:r>
    </w:p>
    <w:p w:rsidR="001B4B7E" w:rsidRDefault="001B4B7E" w:rsidP="00532A60">
      <w:pPr>
        <w:jc w:val="both"/>
        <w:rPr>
          <w:rFonts w:ascii="Times New Roman" w:hAnsi="Times New Roman" w:cs="Times New Roman"/>
          <w:sz w:val="24"/>
          <w:szCs w:val="24"/>
        </w:rPr>
      </w:pPr>
      <w:r>
        <w:rPr>
          <w:rFonts w:ascii="Times New Roman" w:hAnsi="Times New Roman" w:cs="Times New Roman"/>
          <w:sz w:val="24"/>
          <w:szCs w:val="24"/>
        </w:rPr>
        <w:tab/>
      </w:r>
      <w:r w:rsidR="002412AC">
        <w:rPr>
          <w:rFonts w:ascii="Times New Roman" w:hAnsi="Times New Roman" w:cs="Times New Roman"/>
          <w:sz w:val="24"/>
          <w:szCs w:val="24"/>
        </w:rPr>
        <w:t>Analizy odnoszące się do dyskrecjonalności stosowania prawa przez organ antymonopolowy osadzone są w szerszym kontekście konstytucyjnej problematyki konkurencji i jej ochrony, którym poświęcona jest znaczna część rozdziału I. Ten fragment publikacji postrzegam jako niemniej ważny niż rozważania "właściwe" (tj. poświęcone dyskrecjonalności rozważania) wkład Autora w rozwój d</w:t>
      </w:r>
      <w:r w:rsidR="00CF133C">
        <w:rPr>
          <w:rFonts w:ascii="Times New Roman" w:hAnsi="Times New Roman" w:cs="Times New Roman"/>
          <w:sz w:val="24"/>
          <w:szCs w:val="24"/>
        </w:rPr>
        <w:t xml:space="preserve">oktryny prawa antymonopolowego, ale i niebagatelny głos dla doktryny administracyjnego prawa gospodarczego. W tej części pracy prof. C. </w:t>
      </w:r>
      <w:proofErr w:type="spellStart"/>
      <w:r w:rsidR="00CF133C">
        <w:rPr>
          <w:rFonts w:ascii="Times New Roman" w:hAnsi="Times New Roman" w:cs="Times New Roman"/>
          <w:sz w:val="24"/>
          <w:szCs w:val="24"/>
        </w:rPr>
        <w:t>Banasiński</w:t>
      </w:r>
      <w:proofErr w:type="spellEnd"/>
      <w:r w:rsidR="00CF133C">
        <w:rPr>
          <w:rFonts w:ascii="Times New Roman" w:hAnsi="Times New Roman" w:cs="Times New Roman"/>
          <w:sz w:val="24"/>
          <w:szCs w:val="24"/>
        </w:rPr>
        <w:t xml:space="preserve"> "rozprawia" się choćby z często stawianym pytaniem, "czy normy prawa antymonopolowego stanowią formę ograniczenia wolności gospodarczej, czy też jako normy porządkujące rynek, których funkcją jest zachowanie niezakłóconego mechanizmy konkurencji umożliwiającego swobodne konkurowanie przedsiębiorców, są jedną z form wzmocnienia wolności gospodarczej" (s. 43). Autor uznaje to pytanie za "mało płodne metodologicznie, nie prowadzące do żadnych konstruktywnych wniosków" (s. 43), słusznie podkreślając przy tym, że "relacje między prawem pozytywnym a wolnością nie mają charakteru jednokierunkowego; prawo ogranicza wolność, zarazem ją chroniąc. (...) Współcześnie wartością samą w sobie nie jest wolność od prawa, lecz poszukiwanie takiej jej formuły, za którą stoi egzystencjonalna </w:t>
      </w:r>
      <w:r w:rsidR="00381484">
        <w:rPr>
          <w:rFonts w:ascii="Times New Roman" w:hAnsi="Times New Roman" w:cs="Times New Roman"/>
          <w:sz w:val="24"/>
          <w:szCs w:val="24"/>
        </w:rPr>
        <w:t xml:space="preserve">treść wolności gospodarczej, odpowiedzialność za korzystanie z niej, a także kulturowe i aksjologiczne podstawy, na których jest wykonywana i z których wyrasta" (s. 44). </w:t>
      </w:r>
      <w:r w:rsidR="005475B2">
        <w:rPr>
          <w:rFonts w:ascii="Times New Roman" w:hAnsi="Times New Roman" w:cs="Times New Roman"/>
          <w:sz w:val="24"/>
          <w:szCs w:val="24"/>
        </w:rPr>
        <w:t xml:space="preserve">Rozważania nad konstytucyjnym wymiarem ochrony konkurencji realizowanym poprzez rozwiązywanie konfliktu między interesem ogólnym (publicznym) a prawami jednostkowymi (podstawowymi) stanowią w książce </w:t>
      </w:r>
      <w:r w:rsidR="004373E1">
        <w:rPr>
          <w:rFonts w:ascii="Times New Roman" w:hAnsi="Times New Roman" w:cs="Times New Roman"/>
          <w:sz w:val="24"/>
          <w:szCs w:val="24"/>
        </w:rPr>
        <w:t xml:space="preserve">wprowadzenie do rozważań nad aksjologicznymi granicami interpretacji szczegółowych przesłanek stosowania </w:t>
      </w:r>
      <w:r w:rsidR="004373E1">
        <w:rPr>
          <w:rFonts w:ascii="Times New Roman" w:hAnsi="Times New Roman" w:cs="Times New Roman"/>
          <w:sz w:val="24"/>
          <w:szCs w:val="24"/>
        </w:rPr>
        <w:lastRenderedPageBreak/>
        <w:t xml:space="preserve">konkretnych przepisów prawa antymonopolowego. Zawarte w ustawie o ochronie konkurencji i </w:t>
      </w:r>
      <w:r w:rsidR="004963D4">
        <w:rPr>
          <w:rFonts w:ascii="Times New Roman" w:hAnsi="Times New Roman" w:cs="Times New Roman"/>
          <w:sz w:val="24"/>
          <w:szCs w:val="24"/>
        </w:rPr>
        <w:t>konsumentów</w:t>
      </w:r>
      <w:r w:rsidR="004373E1">
        <w:rPr>
          <w:rFonts w:ascii="Times New Roman" w:hAnsi="Times New Roman" w:cs="Times New Roman"/>
          <w:sz w:val="24"/>
          <w:szCs w:val="24"/>
        </w:rPr>
        <w:t xml:space="preserve"> klauzulom generalnym Autor postrzega jako "szczególnego rodzaju system</w:t>
      </w:r>
      <w:r w:rsidR="004963D4">
        <w:rPr>
          <w:rFonts w:ascii="Times New Roman" w:hAnsi="Times New Roman" w:cs="Times New Roman"/>
          <w:sz w:val="24"/>
          <w:szCs w:val="24"/>
        </w:rPr>
        <w:t xml:space="preserve"> klauzul o różnorodnych treściowo odesłaniach </w:t>
      </w:r>
      <w:proofErr w:type="spellStart"/>
      <w:r w:rsidR="004963D4">
        <w:rPr>
          <w:rFonts w:ascii="Times New Roman" w:hAnsi="Times New Roman" w:cs="Times New Roman"/>
          <w:sz w:val="24"/>
          <w:szCs w:val="24"/>
        </w:rPr>
        <w:t>pozasystemowych</w:t>
      </w:r>
      <w:proofErr w:type="spellEnd"/>
      <w:r w:rsidR="004963D4">
        <w:rPr>
          <w:rFonts w:ascii="Times New Roman" w:hAnsi="Times New Roman" w:cs="Times New Roman"/>
          <w:sz w:val="24"/>
          <w:szCs w:val="24"/>
        </w:rPr>
        <w:t xml:space="preserve">" oraz o różnych funkcjach w odniesieniu do ich roli w rekonstrukcji normy prawnej (s. 121). W systemie tym klauzulom zawartym w art. 1 </w:t>
      </w:r>
      <w:proofErr w:type="spellStart"/>
      <w:r w:rsidR="004963D4">
        <w:rPr>
          <w:rFonts w:ascii="Times New Roman" w:hAnsi="Times New Roman" w:cs="Times New Roman"/>
          <w:sz w:val="24"/>
          <w:szCs w:val="24"/>
        </w:rPr>
        <w:t>uokik</w:t>
      </w:r>
      <w:proofErr w:type="spellEnd"/>
      <w:r w:rsidR="004963D4">
        <w:rPr>
          <w:rFonts w:ascii="Times New Roman" w:hAnsi="Times New Roman" w:cs="Times New Roman"/>
          <w:sz w:val="24"/>
          <w:szCs w:val="24"/>
        </w:rPr>
        <w:t xml:space="preserve"> </w:t>
      </w:r>
      <w:r w:rsidR="003C31BD">
        <w:rPr>
          <w:rFonts w:ascii="Times New Roman" w:hAnsi="Times New Roman" w:cs="Times New Roman"/>
          <w:sz w:val="24"/>
          <w:szCs w:val="24"/>
        </w:rPr>
        <w:t xml:space="preserve">(klauzula interesu publicznego, ochrony konkurencji i eksterytorialnego skutku jako przesłanki stosowania ustawy antymonopolowej) </w:t>
      </w:r>
      <w:r w:rsidR="004963D4">
        <w:rPr>
          <w:rFonts w:ascii="Times New Roman" w:hAnsi="Times New Roman" w:cs="Times New Roman"/>
          <w:sz w:val="24"/>
          <w:szCs w:val="24"/>
        </w:rPr>
        <w:t xml:space="preserve">prof. </w:t>
      </w:r>
      <w:proofErr w:type="spellStart"/>
      <w:r w:rsidR="004963D4">
        <w:rPr>
          <w:rFonts w:ascii="Times New Roman" w:hAnsi="Times New Roman" w:cs="Times New Roman"/>
          <w:sz w:val="24"/>
          <w:szCs w:val="24"/>
        </w:rPr>
        <w:t>Banasiński</w:t>
      </w:r>
      <w:proofErr w:type="spellEnd"/>
      <w:r w:rsidR="004963D4">
        <w:rPr>
          <w:rFonts w:ascii="Times New Roman" w:hAnsi="Times New Roman" w:cs="Times New Roman"/>
          <w:sz w:val="24"/>
          <w:szCs w:val="24"/>
        </w:rPr>
        <w:t xml:space="preserve"> przypisuje charakter (rolę) </w:t>
      </w:r>
      <w:proofErr w:type="spellStart"/>
      <w:r w:rsidR="004963D4">
        <w:rPr>
          <w:rFonts w:ascii="Times New Roman" w:hAnsi="Times New Roman" w:cs="Times New Roman"/>
          <w:sz w:val="24"/>
          <w:szCs w:val="24"/>
        </w:rPr>
        <w:t>metaklauzul</w:t>
      </w:r>
      <w:proofErr w:type="spellEnd"/>
      <w:r w:rsidR="004963D4">
        <w:rPr>
          <w:rFonts w:ascii="Times New Roman" w:hAnsi="Times New Roman" w:cs="Times New Roman"/>
          <w:sz w:val="24"/>
          <w:szCs w:val="24"/>
        </w:rPr>
        <w:t xml:space="preserve">.  Spośród wielu ciekawych spostrzeżeń i wniosków chciałabym przywołać choćby pogląd, że "powiązanie pojęcia interesu publicznego z art. 1 </w:t>
      </w:r>
      <w:proofErr w:type="spellStart"/>
      <w:r w:rsidR="004963D4">
        <w:rPr>
          <w:rFonts w:ascii="Times New Roman" w:hAnsi="Times New Roman" w:cs="Times New Roman"/>
          <w:sz w:val="24"/>
          <w:szCs w:val="24"/>
        </w:rPr>
        <w:t>uokik</w:t>
      </w:r>
      <w:proofErr w:type="spellEnd"/>
      <w:r w:rsidR="004963D4">
        <w:rPr>
          <w:rFonts w:ascii="Times New Roman" w:hAnsi="Times New Roman" w:cs="Times New Roman"/>
          <w:sz w:val="24"/>
          <w:szCs w:val="24"/>
        </w:rPr>
        <w:t xml:space="preserve"> z celami </w:t>
      </w:r>
      <w:proofErr w:type="spellStart"/>
      <w:r w:rsidR="004963D4">
        <w:rPr>
          <w:rFonts w:ascii="Times New Roman" w:hAnsi="Times New Roman" w:cs="Times New Roman"/>
          <w:sz w:val="24"/>
          <w:szCs w:val="24"/>
        </w:rPr>
        <w:t>usatwodawstwa</w:t>
      </w:r>
      <w:proofErr w:type="spellEnd"/>
      <w:r w:rsidR="004963D4">
        <w:rPr>
          <w:rFonts w:ascii="Times New Roman" w:hAnsi="Times New Roman" w:cs="Times New Roman"/>
          <w:sz w:val="24"/>
          <w:szCs w:val="24"/>
        </w:rPr>
        <w:t xml:space="preserve"> antymonopolowego jest warunkiem koniecznym konkretyzacji tego pojęcia, ale niewystarczającym. Ocenę stanu konkurencji należy bowiem odnosić do konkretnego rynku właściwego, którego analiza umożliwia stwierdzenie, czy charakteryzuje się on dostatecznym poziomem skutecznej konkurencji" (s. 131-132). W konsekwencji Autor wskazuje na konieczność weryfikacji treści interesu publicznego na dwóch poziomach: "z punktu widzenia ustawy antymonopolowej oraz jej zasadniczego narzędzia ochrony konkurencji, jakim jest rynek właściwy"</w:t>
      </w:r>
      <w:r w:rsidR="003C31BD">
        <w:rPr>
          <w:rFonts w:ascii="Times New Roman" w:hAnsi="Times New Roman" w:cs="Times New Roman"/>
          <w:sz w:val="24"/>
          <w:szCs w:val="24"/>
        </w:rPr>
        <w:t xml:space="preserve"> (s. 135)</w:t>
      </w:r>
      <w:r w:rsidR="004963D4">
        <w:rPr>
          <w:rFonts w:ascii="Times New Roman" w:hAnsi="Times New Roman" w:cs="Times New Roman"/>
          <w:sz w:val="24"/>
          <w:szCs w:val="24"/>
        </w:rPr>
        <w:t>.</w:t>
      </w:r>
      <w:r w:rsidR="005D60B2">
        <w:rPr>
          <w:rFonts w:ascii="Times New Roman" w:hAnsi="Times New Roman" w:cs="Times New Roman"/>
          <w:sz w:val="24"/>
          <w:szCs w:val="24"/>
        </w:rPr>
        <w:t xml:space="preserve"> Wniosek ten w moim przekonaniu istotnie uzupełnia dotychczasowy dorobek orzeczniczy i doktrynalny </w:t>
      </w:r>
      <w:r w:rsidR="003C31BD">
        <w:rPr>
          <w:rFonts w:ascii="Times New Roman" w:hAnsi="Times New Roman" w:cs="Times New Roman"/>
          <w:sz w:val="24"/>
          <w:szCs w:val="24"/>
        </w:rPr>
        <w:t xml:space="preserve">w zakresie definiowania przesłanki interesu publicznego. Poszukiwanie optymalnego rozumienia </w:t>
      </w:r>
      <w:proofErr w:type="spellStart"/>
      <w:r w:rsidR="003C31BD">
        <w:rPr>
          <w:rFonts w:ascii="Times New Roman" w:hAnsi="Times New Roman" w:cs="Times New Roman"/>
          <w:sz w:val="24"/>
          <w:szCs w:val="24"/>
        </w:rPr>
        <w:t>metaklauzul</w:t>
      </w:r>
      <w:proofErr w:type="spellEnd"/>
      <w:r w:rsidR="003C31BD">
        <w:rPr>
          <w:rFonts w:ascii="Times New Roman" w:hAnsi="Times New Roman" w:cs="Times New Roman"/>
          <w:sz w:val="24"/>
          <w:szCs w:val="24"/>
        </w:rPr>
        <w:t xml:space="preserve"> zawartych w art. 1 jest o tyle istotne, że - posługując się słowami Autora - "art. 1 wręcz zakłada dyskrecjonalność organu antymonopolowego w podejmowaniu działań przeciwdziałających </w:t>
      </w:r>
      <w:proofErr w:type="spellStart"/>
      <w:r w:rsidR="003C31BD">
        <w:rPr>
          <w:rFonts w:ascii="Times New Roman" w:hAnsi="Times New Roman" w:cs="Times New Roman"/>
          <w:sz w:val="24"/>
          <w:szCs w:val="24"/>
        </w:rPr>
        <w:t>antykonkurencyjnym</w:t>
      </w:r>
      <w:proofErr w:type="spellEnd"/>
      <w:r w:rsidR="003C31BD">
        <w:rPr>
          <w:rFonts w:ascii="Times New Roman" w:hAnsi="Times New Roman" w:cs="Times New Roman"/>
          <w:sz w:val="24"/>
          <w:szCs w:val="24"/>
        </w:rPr>
        <w:t xml:space="preserve"> praktykom rynkowym przedsiębiorców i ich koncentracjom" (s. 184). </w:t>
      </w:r>
    </w:p>
    <w:p w:rsidR="005264B1" w:rsidRDefault="005475B2" w:rsidP="00532A60">
      <w:pPr>
        <w:jc w:val="both"/>
        <w:rPr>
          <w:rFonts w:ascii="Times New Roman" w:hAnsi="Times New Roman" w:cs="Times New Roman"/>
          <w:sz w:val="24"/>
          <w:szCs w:val="24"/>
        </w:rPr>
      </w:pPr>
      <w:r>
        <w:rPr>
          <w:rFonts w:ascii="Times New Roman" w:hAnsi="Times New Roman" w:cs="Times New Roman"/>
          <w:sz w:val="24"/>
          <w:szCs w:val="24"/>
        </w:rPr>
        <w:tab/>
      </w:r>
      <w:r w:rsidR="00CD4171">
        <w:rPr>
          <w:rFonts w:ascii="Times New Roman" w:hAnsi="Times New Roman" w:cs="Times New Roman"/>
          <w:sz w:val="24"/>
          <w:szCs w:val="24"/>
        </w:rPr>
        <w:t xml:space="preserve">Analizując, składające sie na dyskrecjonalność prawa antymonopolowego, otwarte pojęcia rynku właściwego i pozycji dominującej, prof. </w:t>
      </w:r>
      <w:proofErr w:type="spellStart"/>
      <w:r w:rsidR="00CD4171">
        <w:rPr>
          <w:rFonts w:ascii="Times New Roman" w:hAnsi="Times New Roman" w:cs="Times New Roman"/>
          <w:sz w:val="24"/>
          <w:szCs w:val="24"/>
        </w:rPr>
        <w:t>Banasiński</w:t>
      </w:r>
      <w:proofErr w:type="spellEnd"/>
      <w:r w:rsidR="00CD4171">
        <w:rPr>
          <w:rFonts w:ascii="Times New Roman" w:hAnsi="Times New Roman" w:cs="Times New Roman"/>
          <w:sz w:val="24"/>
          <w:szCs w:val="24"/>
        </w:rPr>
        <w:t xml:space="preserve"> odnotowuje, że w sytuacjach ustalania przez organ ochrony konkurencji siły rynkowej przedsiębiorcy mamy do czynienia niejako z podwójną dyskrecjonalnością: najpierw konieczne jest wyznaczenie rynku właściwego, a dopiero w odniesieniu do tegoż - zbadanie pozycji rynkowej, przy czym zarówno ustawowa definicja rynku właściwego, jak i definicja pozycji dominującej oparte są na kryteriach niedookreślonych, niepełnych, a w konsekwencji powodujących konieczność poddawania ich każdorazowo indywidualnej interpretacji (s. 255). Autor zauważa przy tym, że korzystanie w ocenach antymonopolowych z kryteriów pozaprawnych, nie oznacza rezygnacji z kryteriów </w:t>
      </w:r>
      <w:proofErr w:type="spellStart"/>
      <w:r w:rsidR="00CD4171">
        <w:rPr>
          <w:rFonts w:ascii="Times New Roman" w:hAnsi="Times New Roman" w:cs="Times New Roman"/>
          <w:sz w:val="24"/>
          <w:szCs w:val="24"/>
        </w:rPr>
        <w:t>wewnątrzprawnych</w:t>
      </w:r>
      <w:proofErr w:type="spellEnd"/>
      <w:r w:rsidR="00CD4171">
        <w:rPr>
          <w:rFonts w:ascii="Times New Roman" w:hAnsi="Times New Roman" w:cs="Times New Roman"/>
          <w:sz w:val="24"/>
          <w:szCs w:val="24"/>
        </w:rPr>
        <w:t xml:space="preserve">, za które uznaje zasadę prawdy obiektywnej wyrażoną w art. 7 KPA (s. 256-257). </w:t>
      </w:r>
    </w:p>
    <w:p w:rsidR="005D7DB5" w:rsidRDefault="005D7DB5" w:rsidP="00532A60">
      <w:pPr>
        <w:jc w:val="both"/>
        <w:rPr>
          <w:rFonts w:ascii="Times New Roman" w:hAnsi="Times New Roman" w:cs="Times New Roman"/>
          <w:sz w:val="24"/>
          <w:szCs w:val="24"/>
        </w:rPr>
      </w:pPr>
      <w:r>
        <w:rPr>
          <w:rFonts w:ascii="Times New Roman" w:hAnsi="Times New Roman" w:cs="Times New Roman"/>
          <w:sz w:val="24"/>
          <w:szCs w:val="24"/>
        </w:rPr>
        <w:tab/>
        <w:t xml:space="preserve">W rozdziale IV. książki "Dyskrecjonalność w orzekaniu w sprawach praktyk ograniczających konkurencję" prof. </w:t>
      </w:r>
      <w:proofErr w:type="spellStart"/>
      <w:r>
        <w:rPr>
          <w:rFonts w:ascii="Times New Roman" w:hAnsi="Times New Roman" w:cs="Times New Roman"/>
          <w:sz w:val="24"/>
          <w:szCs w:val="24"/>
        </w:rPr>
        <w:t>Banasiński</w:t>
      </w:r>
      <w:proofErr w:type="spellEnd"/>
      <w:r>
        <w:rPr>
          <w:rFonts w:ascii="Times New Roman" w:hAnsi="Times New Roman" w:cs="Times New Roman"/>
          <w:sz w:val="24"/>
          <w:szCs w:val="24"/>
        </w:rPr>
        <w:t xml:space="preserve"> zawarł swoje rozważania dotyczące granic </w:t>
      </w:r>
      <w:r>
        <w:rPr>
          <w:rFonts w:ascii="Times New Roman" w:hAnsi="Times New Roman" w:cs="Times New Roman"/>
          <w:sz w:val="24"/>
          <w:szCs w:val="24"/>
        </w:rPr>
        <w:lastRenderedPageBreak/>
        <w:t xml:space="preserve">interpretacji organu antymonopolowego w odniesieniu do stypizowanych w ustawie kategorii i typów </w:t>
      </w:r>
      <w:proofErr w:type="spellStart"/>
      <w:r>
        <w:rPr>
          <w:rFonts w:ascii="Times New Roman" w:hAnsi="Times New Roman" w:cs="Times New Roman"/>
          <w:sz w:val="24"/>
          <w:szCs w:val="24"/>
        </w:rPr>
        <w:t>antykonkurencyjnych</w:t>
      </w:r>
      <w:proofErr w:type="spellEnd"/>
      <w:r>
        <w:rPr>
          <w:rFonts w:ascii="Times New Roman" w:hAnsi="Times New Roman" w:cs="Times New Roman"/>
          <w:sz w:val="24"/>
          <w:szCs w:val="24"/>
        </w:rPr>
        <w:t xml:space="preserve"> praktyk. Na uwagę zasługuje zastosowany przez Autora zabieg polegający na blokowym omówieniu poszczególnych typów praktyk, bez </w:t>
      </w:r>
      <w:r w:rsidR="001A03B3">
        <w:rPr>
          <w:rFonts w:ascii="Times New Roman" w:hAnsi="Times New Roman" w:cs="Times New Roman"/>
          <w:sz w:val="24"/>
          <w:szCs w:val="24"/>
        </w:rPr>
        <w:t xml:space="preserve">podziałów np. na dyskryminację w drodze porozumienia przedsiębiorców i dyskryminację przez dominanta rynkowego. Ten rozdział książki charakteryzuje się też wyjątkowo atrakcyjnymi dla czytelnika, a jednocześnie lapidarnie ujmującymi </w:t>
      </w:r>
      <w:proofErr w:type="spellStart"/>
      <w:r w:rsidR="001A03B3" w:rsidRPr="001A03B3">
        <w:rPr>
          <w:rFonts w:ascii="Times New Roman" w:hAnsi="Times New Roman" w:cs="Times New Roman"/>
          <w:i/>
          <w:sz w:val="24"/>
          <w:szCs w:val="24"/>
        </w:rPr>
        <w:t>clue</w:t>
      </w:r>
      <w:proofErr w:type="spellEnd"/>
      <w:r w:rsidR="001A03B3">
        <w:rPr>
          <w:rFonts w:ascii="Times New Roman" w:hAnsi="Times New Roman" w:cs="Times New Roman"/>
          <w:sz w:val="24"/>
          <w:szCs w:val="24"/>
        </w:rPr>
        <w:t xml:space="preserve">  problemu, tytułami podrozdziałów, takimi jak: "Nieuczciwe ceny - kategoria intuicyjna czy w pełni mierzalna" (s. 263-285), "Praktyki kontyngentowe - w poszukiwaniu skutecznych kryteriów oceny </w:t>
      </w:r>
      <w:proofErr w:type="spellStart"/>
      <w:r w:rsidR="001A03B3">
        <w:rPr>
          <w:rFonts w:ascii="Times New Roman" w:hAnsi="Times New Roman" w:cs="Times New Roman"/>
          <w:sz w:val="24"/>
          <w:szCs w:val="24"/>
        </w:rPr>
        <w:t>antykonkurencyjnych</w:t>
      </w:r>
      <w:proofErr w:type="spellEnd"/>
      <w:r w:rsidR="001A03B3">
        <w:rPr>
          <w:rFonts w:ascii="Times New Roman" w:hAnsi="Times New Roman" w:cs="Times New Roman"/>
          <w:sz w:val="24"/>
          <w:szCs w:val="24"/>
        </w:rPr>
        <w:t xml:space="preserve"> zachowań przedsiębiorców" (s. 285-295), czy "Przeciwdziałanie ukształtowaniu się warunków niezbędnych do powstania lub rozwoju konkurencji - konkretyzacja klauzuli generalnej poprzez klauzulę generalną?" (s. 313-316). </w:t>
      </w:r>
      <w:r w:rsidR="00EF7BA8">
        <w:rPr>
          <w:rFonts w:ascii="Times New Roman" w:hAnsi="Times New Roman" w:cs="Times New Roman"/>
          <w:sz w:val="24"/>
          <w:szCs w:val="24"/>
        </w:rPr>
        <w:t>Zasadniczym polem dla uznania administracyjnego w działalności orzeczniczej organu antymonopolowego pozostają jednak według Autora przepisy odnoszące się do wydawania decyzji zobowiązujących (art. 12), przepisy dotyczące nakładania na przedsiębiorców środków zaradczych (art. 10) i środków tymczasowych (art. 89), przepisy poświęcone dobrowolnemu poddaniu się karze (art. 89a), a także regulacje dotyczące nadawania decyzjom antymonopolowym rygoru natychmiastowej wykonalności (art. 90) (s. 361).</w:t>
      </w:r>
      <w:r w:rsidR="00605EA0">
        <w:rPr>
          <w:rFonts w:ascii="Times New Roman" w:hAnsi="Times New Roman" w:cs="Times New Roman"/>
          <w:sz w:val="24"/>
          <w:szCs w:val="24"/>
        </w:rPr>
        <w:t xml:space="preserve"> Ocena sposobu korzystania z dyskrecjonalności w odniesieniu do praktyk ograniczających konkurencję wydaje się być dość krytyczna, Autor mówi wręcz o "zanegowaniu dyskrecjonalności działania w jej pozytywnej funkcji elastycznego reagowania na niedające się przewidzieć i tym samym ustawowo skatalogować zachowania przedsiębiorców" (s. 363). </w:t>
      </w:r>
    </w:p>
    <w:p w:rsidR="00122AF3" w:rsidRDefault="00122AF3" w:rsidP="00532A60">
      <w:pPr>
        <w:jc w:val="both"/>
        <w:rPr>
          <w:rFonts w:ascii="Times New Roman" w:hAnsi="Times New Roman" w:cs="Times New Roman"/>
          <w:sz w:val="24"/>
          <w:szCs w:val="24"/>
        </w:rPr>
      </w:pPr>
      <w:r>
        <w:rPr>
          <w:rFonts w:ascii="Times New Roman" w:hAnsi="Times New Roman" w:cs="Times New Roman"/>
          <w:sz w:val="24"/>
          <w:szCs w:val="24"/>
        </w:rPr>
        <w:tab/>
        <w:t xml:space="preserve">Wiele uwag dotyczących dyskrecjonalności w stosowaniu zakazów praktyk ograniczających konkurencję daje się odnieść również do </w:t>
      </w:r>
      <w:r w:rsidR="00F27077">
        <w:rPr>
          <w:rFonts w:ascii="Times New Roman" w:hAnsi="Times New Roman" w:cs="Times New Roman"/>
          <w:sz w:val="24"/>
          <w:szCs w:val="24"/>
        </w:rPr>
        <w:t xml:space="preserve">swobody decyzyjnej organu antymonopolowego w obszarze kontroli koncentracji. Autor podkreśla, że organ ochrony konkurencji został wyposażony w daleko idący luz interpretacyjny w odniesieniu do kryteriów oceny zgłoszonego zamiaru koncentracji (s. 420). Dyskrecjonalności działania organu poddana jest także ocena testu bilansującego ochrony konkurencji i innych wartości uzasadniających wyłączenie spod zakazu koncentracji na podstawie art. 20 ust. 2 </w:t>
      </w:r>
      <w:proofErr w:type="spellStart"/>
      <w:r w:rsidR="00F27077">
        <w:rPr>
          <w:rFonts w:ascii="Times New Roman" w:hAnsi="Times New Roman" w:cs="Times New Roman"/>
          <w:sz w:val="24"/>
          <w:szCs w:val="24"/>
        </w:rPr>
        <w:t>uokik</w:t>
      </w:r>
      <w:proofErr w:type="spellEnd"/>
      <w:r w:rsidR="00A47A11">
        <w:rPr>
          <w:rFonts w:ascii="Times New Roman" w:hAnsi="Times New Roman" w:cs="Times New Roman"/>
          <w:sz w:val="24"/>
          <w:szCs w:val="24"/>
        </w:rPr>
        <w:t xml:space="preserve"> (s. 421)</w:t>
      </w:r>
      <w:r w:rsidR="00F27077">
        <w:rPr>
          <w:rFonts w:ascii="Times New Roman" w:hAnsi="Times New Roman" w:cs="Times New Roman"/>
          <w:sz w:val="24"/>
          <w:szCs w:val="24"/>
        </w:rPr>
        <w:t xml:space="preserve">. </w:t>
      </w:r>
    </w:p>
    <w:p w:rsidR="00F27077" w:rsidRDefault="00F27077" w:rsidP="00532A60">
      <w:pPr>
        <w:jc w:val="both"/>
        <w:rPr>
          <w:rFonts w:ascii="Times New Roman" w:hAnsi="Times New Roman" w:cs="Times New Roman"/>
          <w:sz w:val="24"/>
          <w:szCs w:val="24"/>
        </w:rPr>
      </w:pPr>
      <w:r>
        <w:rPr>
          <w:rFonts w:ascii="Times New Roman" w:hAnsi="Times New Roman" w:cs="Times New Roman"/>
          <w:sz w:val="24"/>
          <w:szCs w:val="24"/>
        </w:rPr>
        <w:tab/>
      </w:r>
      <w:r w:rsidR="00A47A11">
        <w:rPr>
          <w:rFonts w:ascii="Times New Roman" w:hAnsi="Times New Roman" w:cs="Times New Roman"/>
          <w:sz w:val="24"/>
          <w:szCs w:val="24"/>
        </w:rPr>
        <w:t>Zapewne wielu z nas ze</w:t>
      </w:r>
      <w:r w:rsidR="00944316">
        <w:rPr>
          <w:rFonts w:ascii="Times New Roman" w:hAnsi="Times New Roman" w:cs="Times New Roman"/>
          <w:sz w:val="24"/>
          <w:szCs w:val="24"/>
        </w:rPr>
        <w:t xml:space="preserve"> szczególnie dużym</w:t>
      </w:r>
      <w:r w:rsidR="00A47A11">
        <w:rPr>
          <w:rFonts w:ascii="Times New Roman" w:hAnsi="Times New Roman" w:cs="Times New Roman"/>
          <w:sz w:val="24"/>
          <w:szCs w:val="24"/>
        </w:rPr>
        <w:t xml:space="preserve"> zainteresowaniem przeczytało </w:t>
      </w:r>
      <w:r w:rsidR="00944316">
        <w:rPr>
          <w:rFonts w:ascii="Times New Roman" w:hAnsi="Times New Roman" w:cs="Times New Roman"/>
          <w:sz w:val="24"/>
          <w:szCs w:val="24"/>
        </w:rPr>
        <w:t xml:space="preserve">rozdział poświęcony dyskrecjonalności Prezesa </w:t>
      </w:r>
      <w:proofErr w:type="spellStart"/>
      <w:r w:rsidR="00944316">
        <w:rPr>
          <w:rFonts w:ascii="Times New Roman" w:hAnsi="Times New Roman" w:cs="Times New Roman"/>
          <w:sz w:val="24"/>
          <w:szCs w:val="24"/>
        </w:rPr>
        <w:t>UOKiK</w:t>
      </w:r>
      <w:proofErr w:type="spellEnd"/>
      <w:r w:rsidR="00944316">
        <w:rPr>
          <w:rFonts w:ascii="Times New Roman" w:hAnsi="Times New Roman" w:cs="Times New Roman"/>
          <w:sz w:val="24"/>
          <w:szCs w:val="24"/>
        </w:rPr>
        <w:t xml:space="preserve"> w zakresie nakładania kar. Orzecznictwo w ostatnich latach pokazało nam wszak, że w tym wymiarze dyskrecjonalność działań Prezesa </w:t>
      </w:r>
      <w:proofErr w:type="spellStart"/>
      <w:r w:rsidR="00944316">
        <w:rPr>
          <w:rFonts w:ascii="Times New Roman" w:hAnsi="Times New Roman" w:cs="Times New Roman"/>
          <w:sz w:val="24"/>
          <w:szCs w:val="24"/>
        </w:rPr>
        <w:t>UOKiK</w:t>
      </w:r>
      <w:proofErr w:type="spellEnd"/>
      <w:r w:rsidR="00944316">
        <w:rPr>
          <w:rFonts w:ascii="Times New Roman" w:hAnsi="Times New Roman" w:cs="Times New Roman"/>
          <w:sz w:val="24"/>
          <w:szCs w:val="24"/>
        </w:rPr>
        <w:t xml:space="preserve"> podlega największej krytyce. </w:t>
      </w:r>
    </w:p>
    <w:p w:rsidR="00944316" w:rsidRDefault="00944316" w:rsidP="00944316">
      <w:pPr>
        <w:jc w:val="both"/>
        <w:rPr>
          <w:rFonts w:ascii="Times New Roman" w:hAnsi="Times New Roman" w:cs="Times New Roman"/>
          <w:sz w:val="24"/>
          <w:szCs w:val="24"/>
        </w:rPr>
      </w:pPr>
      <w:r>
        <w:rPr>
          <w:rFonts w:ascii="Times New Roman" w:hAnsi="Times New Roman" w:cs="Times New Roman"/>
          <w:sz w:val="24"/>
          <w:szCs w:val="24"/>
        </w:rPr>
        <w:lastRenderedPageBreak/>
        <w:tab/>
        <w:t xml:space="preserve">Całość rozważań służy ocenie, czy w prawie antymonopolowym istnieje szczególny rodzaj dyskrecjonalności (podobny do tzw. uznania regulacyjnego), typowy tylko dla tej dziedziny prawa. </w:t>
      </w:r>
      <w:r w:rsidR="00107E2A">
        <w:rPr>
          <w:rFonts w:ascii="Times New Roman" w:hAnsi="Times New Roman" w:cs="Times New Roman"/>
          <w:sz w:val="24"/>
          <w:szCs w:val="24"/>
        </w:rPr>
        <w:t xml:space="preserve">Autor przekonująco dowodzi, że mimo wszystko nie ma podstaw do tworzenia takiej konstrukcji doktrynalnej, nawet jeśli prawo antymonopolowe ma swoją specyfikę. "W prawie antymonopolowym (...) zarówno uznanie administracyjne, jak i inne dyskrecjonalne postacie działania organu administracji kształtujące jego luz decyzyjny nie odbiegają od "klasycznego" ich rozumienia, co oczywiście nie wyklucza ich specyfiki, stosownie do regulowanej materii prawnej" (s. 478). </w:t>
      </w:r>
    </w:p>
    <w:p w:rsidR="00065FC8" w:rsidRDefault="00065FC8" w:rsidP="00065FC8">
      <w:pPr>
        <w:jc w:val="both"/>
        <w:rPr>
          <w:rFonts w:ascii="Times New Roman" w:hAnsi="Times New Roman" w:cs="Times New Roman"/>
          <w:sz w:val="24"/>
          <w:szCs w:val="24"/>
        </w:rPr>
      </w:pPr>
      <w:r>
        <w:rPr>
          <w:rFonts w:ascii="Times New Roman" w:hAnsi="Times New Roman" w:cs="Times New Roman"/>
          <w:sz w:val="24"/>
          <w:szCs w:val="24"/>
        </w:rPr>
        <w:tab/>
      </w:r>
      <w:r w:rsidR="00944316">
        <w:rPr>
          <w:rFonts w:ascii="Times New Roman" w:hAnsi="Times New Roman" w:cs="Times New Roman"/>
          <w:sz w:val="24"/>
          <w:szCs w:val="24"/>
        </w:rPr>
        <w:t>Inne pytanie, jakie stawia Autor dotyczy zakresu, w jakim przyznany luz decyzyjny kształtuje instytucję nadzoru nad rynkiem org</w:t>
      </w:r>
      <w:r w:rsidR="00107E2A">
        <w:rPr>
          <w:rFonts w:ascii="Times New Roman" w:hAnsi="Times New Roman" w:cs="Times New Roman"/>
          <w:sz w:val="24"/>
          <w:szCs w:val="24"/>
        </w:rPr>
        <w:t>anu antymonopolowego (s. 119). Zdaniem Autora "dyskrecjonalność działania organu antymonopolowego ma istotny skutek dla normatywnego kształtu nadzoru nad rynkiem. Opierając ten nadzór na znacznych luzach normatywnych, ustawa antymonopolowa tworzy w istocie decyzyjny model nadzoru nad rynkiem" (s. 565).</w:t>
      </w:r>
      <w:r>
        <w:rPr>
          <w:rFonts w:ascii="Times New Roman" w:hAnsi="Times New Roman" w:cs="Times New Roman"/>
          <w:sz w:val="24"/>
          <w:szCs w:val="24"/>
        </w:rPr>
        <w:t xml:space="preserve"> Podsumowanie rozważań stanowi wniosek, z którym - jak mniemam - zgodzi się większość z nas: "dyskrecjonalność organu antymonopolowego zakłada istnienie pewnego poziomu "etycznej wrażliwości" jako koniecznego kryterium wielostronnej oceny rzeczywistości rynkowej, stwarzającej gwarancje sprawiedliwego stosowania prawa (...)" (s. 565). </w:t>
      </w:r>
    </w:p>
    <w:p w:rsidR="00065FC8" w:rsidRDefault="00065FC8" w:rsidP="00065FC8">
      <w:pPr>
        <w:jc w:val="both"/>
        <w:rPr>
          <w:rFonts w:ascii="Times New Roman" w:hAnsi="Times New Roman" w:cs="Times New Roman"/>
          <w:sz w:val="24"/>
          <w:szCs w:val="24"/>
        </w:rPr>
      </w:pPr>
      <w:r>
        <w:rPr>
          <w:rFonts w:ascii="Times New Roman" w:hAnsi="Times New Roman" w:cs="Times New Roman"/>
          <w:sz w:val="24"/>
          <w:szCs w:val="24"/>
        </w:rPr>
        <w:tab/>
        <w:t xml:space="preserve">Dla porządku należy dodać, że wszelkie rozważania i analizy są mocno zakotwiczone w doktrynie prawa administracyjnego, co czyni książkę autorstwa prof. </w:t>
      </w:r>
      <w:proofErr w:type="spellStart"/>
      <w:r>
        <w:rPr>
          <w:rFonts w:ascii="Times New Roman" w:hAnsi="Times New Roman" w:cs="Times New Roman"/>
          <w:sz w:val="24"/>
          <w:szCs w:val="24"/>
        </w:rPr>
        <w:t>Banasińskiego</w:t>
      </w:r>
      <w:proofErr w:type="spellEnd"/>
      <w:r>
        <w:rPr>
          <w:rFonts w:ascii="Times New Roman" w:hAnsi="Times New Roman" w:cs="Times New Roman"/>
          <w:sz w:val="24"/>
          <w:szCs w:val="24"/>
        </w:rPr>
        <w:t xml:space="preserve"> uniwersalną i wykraczającą poza wyłącznie obszar prawa antymonopolowego. Wnioski formułowane w odniesieniu do dyskrecjonalności w prawie antymonopolowym mogą być, jeśli nie bezpośrednio stosowane, to mogą stać się punktem odniesienia dla </w:t>
      </w:r>
      <w:r w:rsidR="00C51640">
        <w:rPr>
          <w:rFonts w:ascii="Times New Roman" w:hAnsi="Times New Roman" w:cs="Times New Roman"/>
          <w:sz w:val="24"/>
          <w:szCs w:val="24"/>
        </w:rPr>
        <w:t xml:space="preserve">podobnych analiz dotyczących innych obszarów prawa. </w:t>
      </w:r>
    </w:p>
    <w:p w:rsidR="005475B2" w:rsidRDefault="00065FC8" w:rsidP="00065FC8">
      <w:pPr>
        <w:jc w:val="both"/>
        <w:rPr>
          <w:rFonts w:ascii="Times New Roman" w:hAnsi="Times New Roman" w:cs="Times New Roman"/>
          <w:sz w:val="24"/>
          <w:szCs w:val="24"/>
        </w:rPr>
      </w:pPr>
      <w:r>
        <w:rPr>
          <w:rFonts w:ascii="Times New Roman" w:hAnsi="Times New Roman" w:cs="Times New Roman"/>
          <w:sz w:val="24"/>
          <w:szCs w:val="24"/>
        </w:rPr>
        <w:tab/>
      </w:r>
      <w:r w:rsidR="00107E2A">
        <w:rPr>
          <w:rFonts w:ascii="Times New Roman" w:hAnsi="Times New Roman" w:cs="Times New Roman"/>
          <w:sz w:val="24"/>
          <w:szCs w:val="24"/>
        </w:rPr>
        <w:t>J</w:t>
      </w:r>
      <w:r w:rsidR="005264B1">
        <w:rPr>
          <w:rFonts w:ascii="Times New Roman" w:hAnsi="Times New Roman" w:cs="Times New Roman"/>
          <w:sz w:val="24"/>
          <w:szCs w:val="24"/>
        </w:rPr>
        <w:t xml:space="preserve">ako że jest to książka, do której będziemy wszyscy sięgać po wielokroć </w:t>
      </w:r>
      <w:r w:rsidR="005D7DB5">
        <w:rPr>
          <w:rFonts w:ascii="Times New Roman" w:hAnsi="Times New Roman" w:cs="Times New Roman"/>
          <w:sz w:val="24"/>
          <w:szCs w:val="24"/>
        </w:rPr>
        <w:t xml:space="preserve">w poszukiwaniu nie tyle gotowych rozwiązań, ile czegoś znacznie ważniejszego - inspiracji, rozważam wystąpienie do Kapituły Nagrody CARS z wnioskiem o zainicjowanie przetworzenia nagrodzonej książki na </w:t>
      </w:r>
      <w:proofErr w:type="spellStart"/>
      <w:r w:rsidR="005D7DB5">
        <w:rPr>
          <w:rFonts w:ascii="Times New Roman" w:hAnsi="Times New Roman" w:cs="Times New Roman"/>
          <w:sz w:val="24"/>
          <w:szCs w:val="24"/>
        </w:rPr>
        <w:t>audiobooka</w:t>
      </w:r>
      <w:proofErr w:type="spellEnd"/>
      <w:r w:rsidR="005D7DB5">
        <w:rPr>
          <w:rFonts w:ascii="Times New Roman" w:hAnsi="Times New Roman" w:cs="Times New Roman"/>
          <w:sz w:val="24"/>
          <w:szCs w:val="24"/>
        </w:rPr>
        <w:t>, co pozwoli n</w:t>
      </w:r>
      <w:r w:rsidR="00107E2A">
        <w:rPr>
          <w:rFonts w:ascii="Times New Roman" w:hAnsi="Times New Roman" w:cs="Times New Roman"/>
          <w:sz w:val="24"/>
          <w:szCs w:val="24"/>
        </w:rPr>
        <w:t xml:space="preserve">a korzystanie z nagrodzonej książki zawsze i wszędzie. </w:t>
      </w:r>
    </w:p>
    <w:p w:rsidR="00E14AD6" w:rsidRDefault="00E14AD6" w:rsidP="001C15CA">
      <w:pPr>
        <w:jc w:val="right"/>
        <w:rPr>
          <w:rFonts w:ascii="Times New Roman" w:hAnsi="Times New Roman" w:cs="Times New Roman"/>
          <w:sz w:val="24"/>
          <w:szCs w:val="24"/>
        </w:rPr>
      </w:pPr>
    </w:p>
    <w:p w:rsidR="001C15CA" w:rsidRDefault="001C15CA" w:rsidP="001C15CA">
      <w:pPr>
        <w:jc w:val="right"/>
        <w:rPr>
          <w:rFonts w:ascii="Times New Roman" w:hAnsi="Times New Roman" w:cs="Times New Roman"/>
          <w:b/>
          <w:sz w:val="24"/>
          <w:szCs w:val="24"/>
        </w:rPr>
      </w:pPr>
      <w:r w:rsidRPr="00E14AD6">
        <w:rPr>
          <w:rFonts w:ascii="Times New Roman" w:hAnsi="Times New Roman" w:cs="Times New Roman"/>
          <w:b/>
          <w:sz w:val="24"/>
          <w:szCs w:val="24"/>
        </w:rPr>
        <w:t xml:space="preserve">Dr hab. Agata Jurkowska-Gomułka, prof. </w:t>
      </w:r>
      <w:proofErr w:type="spellStart"/>
      <w:r w:rsidRPr="00E14AD6">
        <w:rPr>
          <w:rFonts w:ascii="Times New Roman" w:hAnsi="Times New Roman" w:cs="Times New Roman"/>
          <w:b/>
          <w:sz w:val="24"/>
          <w:szCs w:val="24"/>
        </w:rPr>
        <w:t>WSIiZ</w:t>
      </w:r>
      <w:proofErr w:type="spellEnd"/>
    </w:p>
    <w:p w:rsidR="00E14AD6" w:rsidRPr="00E14AD6" w:rsidRDefault="00E14AD6" w:rsidP="001C15CA">
      <w:pPr>
        <w:jc w:val="right"/>
        <w:rPr>
          <w:rFonts w:ascii="Times New Roman" w:hAnsi="Times New Roman" w:cs="Times New Roman"/>
          <w:b/>
          <w:sz w:val="24"/>
          <w:szCs w:val="24"/>
        </w:rPr>
      </w:pPr>
      <w:r>
        <w:rPr>
          <w:rFonts w:ascii="Times New Roman" w:hAnsi="Times New Roman" w:cs="Times New Roman"/>
          <w:b/>
          <w:sz w:val="24"/>
          <w:szCs w:val="24"/>
        </w:rPr>
        <w:t>Wyższa Szkoła Informatyki i Zarządzania</w:t>
      </w:r>
    </w:p>
    <w:sectPr w:rsidR="00E14AD6" w:rsidRPr="00E14AD6" w:rsidSect="00E931F0">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0E29" w:rsidRDefault="00C80E29" w:rsidP="005D7DB5">
      <w:pPr>
        <w:spacing w:line="240" w:lineRule="auto"/>
      </w:pPr>
      <w:r>
        <w:separator/>
      </w:r>
    </w:p>
  </w:endnote>
  <w:endnote w:type="continuationSeparator" w:id="0">
    <w:p w:rsidR="00C80E29" w:rsidRDefault="00C80E29" w:rsidP="005D7DB5">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5FC8" w:rsidRDefault="00065FC8">
    <w:pPr>
      <w:pStyle w:val="Stopka"/>
      <w:jc w:val="right"/>
    </w:pPr>
  </w:p>
  <w:p w:rsidR="00065FC8" w:rsidRDefault="00065FC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0E29" w:rsidRDefault="00C80E29" w:rsidP="005D7DB5">
      <w:pPr>
        <w:spacing w:line="240" w:lineRule="auto"/>
      </w:pPr>
      <w:r>
        <w:separator/>
      </w:r>
    </w:p>
  </w:footnote>
  <w:footnote w:type="continuationSeparator" w:id="0">
    <w:p w:rsidR="00C80E29" w:rsidRDefault="00C80E29" w:rsidP="005D7DB5">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defaultTabStop w:val="708"/>
  <w:hyphenationZone w:val="425"/>
  <w:characterSpacingControl w:val="doNotCompress"/>
  <w:footnotePr>
    <w:footnote w:id="-1"/>
    <w:footnote w:id="0"/>
  </w:footnotePr>
  <w:endnotePr>
    <w:endnote w:id="-1"/>
    <w:endnote w:id="0"/>
  </w:endnotePr>
  <w:compat/>
  <w:rsids>
    <w:rsidRoot w:val="00CE475E"/>
    <w:rsid w:val="000071DA"/>
    <w:rsid w:val="00045262"/>
    <w:rsid w:val="00065FC8"/>
    <w:rsid w:val="00072088"/>
    <w:rsid w:val="0008501F"/>
    <w:rsid w:val="00090A78"/>
    <w:rsid w:val="00094EF9"/>
    <w:rsid w:val="000A663D"/>
    <w:rsid w:val="00107E2A"/>
    <w:rsid w:val="00110DDF"/>
    <w:rsid w:val="00122AF3"/>
    <w:rsid w:val="00141C1A"/>
    <w:rsid w:val="00176F08"/>
    <w:rsid w:val="00183771"/>
    <w:rsid w:val="001A03B3"/>
    <w:rsid w:val="001A5286"/>
    <w:rsid w:val="001B4B7E"/>
    <w:rsid w:val="001C15CA"/>
    <w:rsid w:val="001C54C7"/>
    <w:rsid w:val="001D0FCB"/>
    <w:rsid w:val="0020405C"/>
    <w:rsid w:val="00231273"/>
    <w:rsid w:val="002412AC"/>
    <w:rsid w:val="00286377"/>
    <w:rsid w:val="00290196"/>
    <w:rsid w:val="002A4984"/>
    <w:rsid w:val="002F585E"/>
    <w:rsid w:val="00322E78"/>
    <w:rsid w:val="00381484"/>
    <w:rsid w:val="00390A9F"/>
    <w:rsid w:val="00390AF7"/>
    <w:rsid w:val="003C31BD"/>
    <w:rsid w:val="003F08C8"/>
    <w:rsid w:val="004373E1"/>
    <w:rsid w:val="004818A2"/>
    <w:rsid w:val="004963D4"/>
    <w:rsid w:val="004B2FB9"/>
    <w:rsid w:val="004F6C6A"/>
    <w:rsid w:val="005264B1"/>
    <w:rsid w:val="00532A60"/>
    <w:rsid w:val="00541C6D"/>
    <w:rsid w:val="005475B2"/>
    <w:rsid w:val="00555E9C"/>
    <w:rsid w:val="00561237"/>
    <w:rsid w:val="0057080E"/>
    <w:rsid w:val="005D1476"/>
    <w:rsid w:val="005D172A"/>
    <w:rsid w:val="005D60B2"/>
    <w:rsid w:val="005D7DB5"/>
    <w:rsid w:val="005E089D"/>
    <w:rsid w:val="00602315"/>
    <w:rsid w:val="00605EA0"/>
    <w:rsid w:val="006741F7"/>
    <w:rsid w:val="0067713E"/>
    <w:rsid w:val="007513CC"/>
    <w:rsid w:val="0076605E"/>
    <w:rsid w:val="0077511D"/>
    <w:rsid w:val="007A18FA"/>
    <w:rsid w:val="007B00E9"/>
    <w:rsid w:val="007D681F"/>
    <w:rsid w:val="007F241D"/>
    <w:rsid w:val="008363FA"/>
    <w:rsid w:val="00842784"/>
    <w:rsid w:val="00845010"/>
    <w:rsid w:val="00892FA4"/>
    <w:rsid w:val="008A075F"/>
    <w:rsid w:val="00944316"/>
    <w:rsid w:val="00952C02"/>
    <w:rsid w:val="0098393D"/>
    <w:rsid w:val="009A03DB"/>
    <w:rsid w:val="009C35DC"/>
    <w:rsid w:val="009D2904"/>
    <w:rsid w:val="00A03FF2"/>
    <w:rsid w:val="00A47A11"/>
    <w:rsid w:val="00AD7510"/>
    <w:rsid w:val="00B461F3"/>
    <w:rsid w:val="00B57A8B"/>
    <w:rsid w:val="00B70F8F"/>
    <w:rsid w:val="00B717A1"/>
    <w:rsid w:val="00B73C15"/>
    <w:rsid w:val="00B8045D"/>
    <w:rsid w:val="00BB29F2"/>
    <w:rsid w:val="00C51640"/>
    <w:rsid w:val="00C7308B"/>
    <w:rsid w:val="00C80E29"/>
    <w:rsid w:val="00C9179E"/>
    <w:rsid w:val="00CD4171"/>
    <w:rsid w:val="00CE475E"/>
    <w:rsid w:val="00CF133C"/>
    <w:rsid w:val="00D14E6E"/>
    <w:rsid w:val="00D223B4"/>
    <w:rsid w:val="00D87CA7"/>
    <w:rsid w:val="00DA2FC3"/>
    <w:rsid w:val="00E14AD6"/>
    <w:rsid w:val="00E75CCC"/>
    <w:rsid w:val="00E931F0"/>
    <w:rsid w:val="00EA505F"/>
    <w:rsid w:val="00EF7BA8"/>
    <w:rsid w:val="00F27076"/>
    <w:rsid w:val="00F27077"/>
    <w:rsid w:val="00F6164D"/>
    <w:rsid w:val="00F63265"/>
    <w:rsid w:val="00F83501"/>
    <w:rsid w:val="00F9222D"/>
    <w:rsid w:val="00FE04C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931F0"/>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5D7DB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5D7DB5"/>
  </w:style>
  <w:style w:type="paragraph" w:styleId="Stopka">
    <w:name w:val="footer"/>
    <w:basedOn w:val="Normalny"/>
    <w:link w:val="StopkaZnak"/>
    <w:uiPriority w:val="99"/>
    <w:unhideWhenUsed/>
    <w:rsid w:val="005D7DB5"/>
    <w:pPr>
      <w:tabs>
        <w:tab w:val="center" w:pos="4536"/>
        <w:tab w:val="right" w:pos="9072"/>
      </w:tabs>
      <w:spacing w:line="240" w:lineRule="auto"/>
    </w:pPr>
  </w:style>
  <w:style w:type="character" w:customStyle="1" w:styleId="StopkaZnak">
    <w:name w:val="Stopka Znak"/>
    <w:basedOn w:val="Domylnaczcionkaakapitu"/>
    <w:link w:val="Stopka"/>
    <w:uiPriority w:val="99"/>
    <w:rsid w:val="005D7DB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372</TotalTime>
  <Pages>6</Pages>
  <Words>2263</Words>
  <Characters>13584</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dc:creator>
  <cp:lastModifiedBy>Agata</cp:lastModifiedBy>
  <cp:revision>13</cp:revision>
  <cp:lastPrinted>2016-06-07T08:25:00Z</cp:lastPrinted>
  <dcterms:created xsi:type="dcterms:W3CDTF">2016-06-06T08:03:00Z</dcterms:created>
  <dcterms:modified xsi:type="dcterms:W3CDTF">2016-07-23T09:03:00Z</dcterms:modified>
</cp:coreProperties>
</file>